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pageBreakBefore w:val="0"/>
        <w:widowControl w:val="0"/>
        <w:kinsoku/>
        <w:wordWrap/>
        <w:overflowPunct/>
        <w:topLinePunct w:val="0"/>
        <w:autoSpaceDE/>
        <w:autoSpaceDN/>
        <w:bidi w:val="0"/>
        <w:adjustRightInd w:val="0"/>
        <w:snapToGrid w:val="0"/>
        <w:spacing w:line="600" w:lineRule="exact"/>
        <w:jc w:val="left"/>
        <w:textAlignment w:val="auto"/>
        <w:rPr>
          <w:rFonts w:hint="default" w:ascii="小标宋" w:hAnsi="小标宋" w:eastAsia="小标宋" w:cs="小标宋"/>
          <w:bCs/>
          <w:sz w:val="21"/>
          <w:szCs w:val="21"/>
          <w:lang w:val="en-US" w:eastAsia="zh-CN"/>
        </w:rPr>
      </w:pPr>
      <w:bookmarkStart w:id="0" w:name="_GoBack"/>
      <w:bookmarkEnd w:id="0"/>
      <w:r>
        <w:rPr>
          <w:rFonts w:hint="eastAsia" w:ascii="小标宋" w:hAnsi="小标宋" w:eastAsia="小标宋" w:cs="小标宋"/>
          <w:bCs/>
          <w:sz w:val="21"/>
          <w:szCs w:val="21"/>
          <w:lang w:val="en-US" w:eastAsia="zh-CN"/>
        </w:rPr>
        <w:t>附件1.</w:t>
      </w:r>
    </w:p>
    <w:p>
      <w:pPr>
        <w:keepNext w:val="0"/>
        <w:keepLines/>
        <w:pageBreakBefore w:val="0"/>
        <w:widowControl w:val="0"/>
        <w:kinsoku/>
        <w:wordWrap/>
        <w:overflowPunct/>
        <w:topLinePunct w:val="0"/>
        <w:autoSpaceDE/>
        <w:autoSpaceDN/>
        <w:bidi w:val="0"/>
        <w:adjustRightInd w:val="0"/>
        <w:snapToGrid w:val="0"/>
        <w:spacing w:line="600" w:lineRule="exact"/>
        <w:jc w:val="center"/>
        <w:textAlignment w:val="auto"/>
        <w:rPr>
          <w:bCs/>
          <w:sz w:val="28"/>
          <w:szCs w:val="28"/>
        </w:rPr>
      </w:pPr>
      <w:r>
        <w:rPr>
          <w:rFonts w:hint="eastAsia" w:ascii="小标宋" w:hAnsi="小标宋" w:eastAsia="小标宋" w:cs="小标宋"/>
          <w:bCs/>
          <w:sz w:val="44"/>
          <w:szCs w:val="44"/>
        </w:rPr>
        <w:t>项目报名需求</w:t>
      </w:r>
    </w:p>
    <w:p>
      <w:pPr>
        <w:keepNext w:val="0"/>
        <w:keepLines/>
        <w:pageBreakBefore w:val="0"/>
        <w:widowControl w:val="0"/>
        <w:kinsoku/>
        <w:wordWrap/>
        <w:overflowPunct/>
        <w:topLinePunct w:val="0"/>
        <w:autoSpaceDE/>
        <w:autoSpaceDN/>
        <w:bidi w:val="0"/>
        <w:adjustRightInd w:val="0"/>
        <w:snapToGrid w:val="0"/>
        <w:spacing w:line="600" w:lineRule="exact"/>
        <w:ind w:firstLine="560" w:firstLineChars="200"/>
        <w:textAlignment w:val="auto"/>
        <w:rPr>
          <w:bCs/>
          <w:sz w:val="28"/>
          <w:szCs w:val="28"/>
          <w:highlight w:val="none"/>
        </w:rPr>
      </w:pP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eastAsia="黑体"/>
          <w:bCs/>
          <w:sz w:val="32"/>
          <w:szCs w:val="32"/>
          <w:highlight w:val="none"/>
        </w:rPr>
      </w:pPr>
      <w:r>
        <w:rPr>
          <w:rFonts w:hint="eastAsia" w:eastAsia="黑体"/>
          <w:bCs/>
          <w:sz w:val="32"/>
          <w:szCs w:val="32"/>
          <w:highlight w:val="none"/>
        </w:rPr>
        <w:t>一、项目名称：</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海南省金城安居投资集团有限公司</w:t>
      </w:r>
      <w:r>
        <w:rPr>
          <w:rFonts w:hint="eastAsia" w:ascii="仿宋" w:hAnsi="仿宋" w:eastAsia="仿宋" w:cs="仿宋"/>
          <w:i w:val="0"/>
          <w:iCs w:val="0"/>
          <w:caps w:val="0"/>
          <w:color w:val="383838"/>
          <w:spacing w:val="0"/>
          <w:sz w:val="32"/>
          <w:szCs w:val="32"/>
          <w:highlight w:val="none"/>
          <w:shd w:val="clear" w:fill="FFFFFF"/>
          <w:vertAlign w:val="baseline"/>
        </w:rPr>
        <w:t>数字化运营综合平台</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研究</w:t>
      </w:r>
      <w:r>
        <w:rPr>
          <w:rFonts w:hint="eastAsia" w:ascii="仿宋" w:hAnsi="仿宋" w:eastAsia="仿宋" w:cs="仿宋"/>
          <w:sz w:val="32"/>
          <w:szCs w:val="32"/>
          <w:highlight w:val="none"/>
        </w:rPr>
        <w:t>项目</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eastAsia="黑体"/>
          <w:bCs/>
          <w:sz w:val="32"/>
          <w:szCs w:val="32"/>
          <w:highlight w:val="none"/>
        </w:rPr>
      </w:pPr>
      <w:r>
        <w:rPr>
          <w:rFonts w:hint="eastAsia" w:eastAsia="黑体"/>
          <w:bCs/>
          <w:sz w:val="32"/>
          <w:szCs w:val="32"/>
          <w:highlight w:val="none"/>
        </w:rPr>
        <w:t>二、项目概况：</w:t>
      </w:r>
    </w:p>
    <w:tbl>
      <w:tblPr>
        <w:tblStyle w:val="9"/>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418"/>
        <w:gridCol w:w="959"/>
        <w:gridCol w:w="1080"/>
        <w:gridCol w:w="1060"/>
        <w:gridCol w:w="708"/>
        <w:gridCol w:w="1178"/>
        <w:gridCol w:w="1113"/>
        <w:gridCol w:w="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967"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包号/</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序号</w:t>
            </w:r>
          </w:p>
        </w:tc>
        <w:tc>
          <w:tcPr>
            <w:tcW w:w="1418" w:type="dxa"/>
            <w:tcBorders>
              <w:top w:val="single" w:color="auto" w:sz="4" w:space="0"/>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项目名称</w:t>
            </w:r>
          </w:p>
        </w:tc>
        <w:tc>
          <w:tcPr>
            <w:tcW w:w="959" w:type="dxa"/>
            <w:tcBorders>
              <w:top w:val="single" w:color="auto" w:sz="4" w:space="0"/>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lang w:val="en-US" w:eastAsia="zh-CN"/>
              </w:rPr>
            </w:pPr>
            <w:r>
              <w:rPr>
                <w:rFonts w:hint="eastAsia" w:ascii="仿宋" w:hAnsi="仿宋" w:eastAsia="仿宋" w:cs="仿宋"/>
                <w:b/>
                <w:bCs w:val="0"/>
                <w:snapToGrid w:val="0"/>
                <w:sz w:val="24"/>
                <w:highlight w:val="none"/>
                <w:lang w:val="en-US" w:eastAsia="zh-CN"/>
              </w:rPr>
              <w:t>研发</w:t>
            </w:r>
          </w:p>
          <w:p>
            <w:pPr>
              <w:keepNext w:val="0"/>
              <w:pageBreakBefore w:val="0"/>
              <w:widowControl w:val="0"/>
              <w:kinsoku/>
              <w:wordWrap/>
              <w:overflowPunct/>
              <w:topLinePunct w:val="0"/>
              <w:autoSpaceDE/>
              <w:autoSpaceDN/>
              <w:bidi w:val="0"/>
              <w:spacing w:line="600" w:lineRule="exact"/>
              <w:jc w:val="center"/>
              <w:textAlignment w:val="auto"/>
              <w:rPr>
                <w:rFonts w:hint="default" w:ascii="仿宋" w:hAnsi="仿宋" w:eastAsia="仿宋" w:cs="仿宋"/>
                <w:b/>
                <w:bCs w:val="0"/>
                <w:snapToGrid w:val="0"/>
                <w:sz w:val="24"/>
                <w:highlight w:val="none"/>
                <w:lang w:val="en-US" w:eastAsia="zh-CN"/>
              </w:rPr>
            </w:pPr>
            <w:r>
              <w:rPr>
                <w:rFonts w:hint="eastAsia" w:ascii="仿宋" w:hAnsi="仿宋" w:eastAsia="仿宋" w:cs="仿宋"/>
                <w:b/>
                <w:bCs w:val="0"/>
                <w:snapToGrid w:val="0"/>
                <w:sz w:val="24"/>
                <w:highlight w:val="none"/>
                <w:lang w:val="en-US" w:eastAsia="zh-CN"/>
              </w:rPr>
              <w:t>方式</w:t>
            </w:r>
          </w:p>
        </w:tc>
        <w:tc>
          <w:tcPr>
            <w:tcW w:w="1080"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default" w:ascii="仿宋" w:hAnsi="仿宋" w:eastAsia="仿宋" w:cs="仿宋"/>
                <w:b/>
                <w:bCs w:val="0"/>
                <w:snapToGrid w:val="0"/>
                <w:sz w:val="24"/>
                <w:highlight w:val="none"/>
                <w:lang w:val="en-US" w:eastAsia="zh-CN"/>
              </w:rPr>
            </w:pPr>
            <w:r>
              <w:rPr>
                <w:rFonts w:hint="eastAsia" w:ascii="仿宋" w:hAnsi="仿宋" w:eastAsia="仿宋" w:cs="仿宋"/>
                <w:b/>
                <w:bCs w:val="0"/>
                <w:snapToGrid w:val="0"/>
                <w:sz w:val="24"/>
                <w:highlight w:val="none"/>
                <w:lang w:val="en-US" w:eastAsia="zh-CN"/>
              </w:rPr>
              <w:t>研发</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要求</w:t>
            </w:r>
          </w:p>
        </w:tc>
        <w:tc>
          <w:tcPr>
            <w:tcW w:w="1060"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计量</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单位</w:t>
            </w:r>
          </w:p>
        </w:tc>
        <w:tc>
          <w:tcPr>
            <w:tcW w:w="708"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数量</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交货</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时间</w:t>
            </w:r>
          </w:p>
        </w:tc>
        <w:tc>
          <w:tcPr>
            <w:tcW w:w="1113" w:type="dxa"/>
            <w:tcBorders>
              <w:top w:val="single" w:color="auto" w:sz="4" w:space="0"/>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交货</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地点</w:t>
            </w:r>
          </w:p>
        </w:tc>
        <w:tc>
          <w:tcPr>
            <w:tcW w:w="671" w:type="dxa"/>
            <w:tcBorders>
              <w:top w:val="single" w:color="auto" w:sz="4" w:space="0"/>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67" w:type="dxa"/>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p>
        </w:tc>
        <w:tc>
          <w:tcPr>
            <w:tcW w:w="1418" w:type="dxa"/>
            <w:tcBorders>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z w:val="24"/>
                <w:highlight w:val="none"/>
              </w:rPr>
            </w:pPr>
            <w:r>
              <w:rPr>
                <w:rFonts w:hint="eastAsia" w:ascii="仿宋" w:hAnsi="仿宋" w:eastAsia="仿宋" w:cs="仿宋"/>
                <w:i w:val="0"/>
                <w:iCs w:val="0"/>
                <w:caps w:val="0"/>
                <w:color w:val="383838"/>
                <w:spacing w:val="0"/>
                <w:sz w:val="28"/>
                <w:szCs w:val="28"/>
                <w:highlight w:val="none"/>
                <w:shd w:val="clear" w:fill="FFFFFF"/>
                <w:vertAlign w:val="baseline"/>
                <w:lang w:val="en-US" w:eastAsia="zh-CN"/>
              </w:rPr>
              <w:t>海南省金城安居投资集团有限公司</w:t>
            </w:r>
            <w:r>
              <w:rPr>
                <w:rFonts w:hint="eastAsia" w:ascii="仿宋" w:hAnsi="仿宋" w:eastAsia="仿宋" w:cs="仿宋"/>
                <w:i w:val="0"/>
                <w:iCs w:val="0"/>
                <w:caps w:val="0"/>
                <w:color w:val="383838"/>
                <w:spacing w:val="0"/>
                <w:sz w:val="28"/>
                <w:szCs w:val="28"/>
                <w:highlight w:val="none"/>
                <w:shd w:val="clear" w:fill="FFFFFF"/>
                <w:vertAlign w:val="baseline"/>
              </w:rPr>
              <w:t>数字化运营综合平台</w:t>
            </w:r>
            <w:r>
              <w:rPr>
                <w:rFonts w:hint="eastAsia" w:ascii="仿宋" w:hAnsi="仿宋" w:eastAsia="仿宋" w:cs="仿宋"/>
                <w:i w:val="0"/>
                <w:iCs w:val="0"/>
                <w:caps w:val="0"/>
                <w:color w:val="383838"/>
                <w:spacing w:val="0"/>
                <w:sz w:val="28"/>
                <w:szCs w:val="28"/>
                <w:highlight w:val="none"/>
                <w:shd w:val="clear" w:fill="FFFFFF"/>
                <w:vertAlign w:val="baseline"/>
                <w:lang w:val="en-US" w:eastAsia="zh-CN"/>
              </w:rPr>
              <w:t>研究</w:t>
            </w:r>
            <w:r>
              <w:rPr>
                <w:rFonts w:hint="eastAsia" w:ascii="仿宋" w:hAnsi="仿宋" w:eastAsia="仿宋" w:cs="仿宋"/>
                <w:sz w:val="28"/>
                <w:szCs w:val="28"/>
                <w:highlight w:val="none"/>
              </w:rPr>
              <w:t>项目</w:t>
            </w:r>
          </w:p>
        </w:tc>
        <w:tc>
          <w:tcPr>
            <w:tcW w:w="959" w:type="dxa"/>
            <w:tcBorders>
              <w:left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委托</w:t>
            </w:r>
          </w:p>
          <w:p>
            <w:pPr>
              <w:keepNext w:val="0"/>
              <w:pageBreakBefore w:val="0"/>
              <w:widowControl w:val="0"/>
              <w:kinsoku/>
              <w:wordWrap/>
              <w:overflowPunct/>
              <w:topLinePunct w:val="0"/>
              <w:autoSpaceDE/>
              <w:autoSpaceDN/>
              <w:bidi w:val="0"/>
              <w:spacing w:line="600" w:lineRule="exact"/>
              <w:jc w:val="center"/>
              <w:textAlignment w:val="auto"/>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研发</w:t>
            </w: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rPr>
            </w:pPr>
            <w:r>
              <w:rPr>
                <w:rFonts w:hint="eastAsia" w:ascii="仿宋" w:hAnsi="仿宋" w:eastAsia="仿宋" w:cs="仿宋"/>
                <w:bCs/>
                <w:snapToGrid w:val="0"/>
                <w:sz w:val="24"/>
                <w:highlight w:val="none"/>
              </w:rPr>
              <w:t>详见</w:t>
            </w:r>
          </w:p>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lang w:eastAsia="zh-CN"/>
              </w:rPr>
            </w:pPr>
            <w:r>
              <w:rPr>
                <w:rFonts w:hint="eastAsia" w:ascii="仿宋" w:hAnsi="仿宋" w:eastAsia="仿宋" w:cs="仿宋"/>
                <w:bCs/>
                <w:snapToGrid w:val="0"/>
                <w:sz w:val="24"/>
                <w:highlight w:val="none"/>
                <w:lang w:val="en-US" w:eastAsia="zh-CN"/>
              </w:rPr>
              <w:t>附件</w:t>
            </w:r>
          </w:p>
        </w:tc>
        <w:tc>
          <w:tcPr>
            <w:tcW w:w="10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rPr>
            </w:pPr>
            <w:r>
              <w:rPr>
                <w:rFonts w:hint="eastAsia" w:ascii="仿宋" w:hAnsi="仿宋" w:eastAsia="仿宋" w:cs="仿宋"/>
                <w:bCs/>
                <w:snapToGrid w:val="0"/>
                <w:sz w:val="24"/>
                <w:highlight w:val="none"/>
              </w:rPr>
              <w:t>项</w:t>
            </w:r>
          </w:p>
        </w:tc>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rPr>
            </w:pPr>
            <w:r>
              <w:rPr>
                <w:rFonts w:hint="eastAsia" w:ascii="仿宋" w:hAnsi="仿宋" w:eastAsia="仿宋" w:cs="仿宋"/>
                <w:bCs/>
                <w:snapToGrid w:val="0"/>
                <w:sz w:val="24"/>
                <w:highlight w:val="none"/>
              </w:rPr>
              <w:t>1</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default" w:ascii="仿宋" w:hAnsi="仿宋" w:eastAsia="仿宋" w:cs="仿宋"/>
                <w:bCs/>
                <w:snapToGrid w:val="0"/>
                <w:sz w:val="24"/>
                <w:highlight w:val="none"/>
                <w:lang w:val="en-US" w:eastAsia="zh-CN"/>
              </w:rPr>
            </w:pPr>
            <w:r>
              <w:rPr>
                <w:rFonts w:hint="eastAsia" w:ascii="仿宋" w:hAnsi="仿宋" w:eastAsia="仿宋" w:cs="仿宋"/>
                <w:bCs/>
                <w:snapToGrid w:val="0"/>
                <w:sz w:val="24"/>
                <w:highlight w:val="none"/>
                <w:lang w:val="en-US" w:eastAsia="zh-CN"/>
              </w:rPr>
              <w:t>合同履行之日起6个月内</w:t>
            </w:r>
          </w:p>
        </w:tc>
        <w:tc>
          <w:tcPr>
            <w:tcW w:w="1113" w:type="dxa"/>
            <w:tcBorders>
              <w:left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rPr>
            </w:pPr>
            <w:r>
              <w:rPr>
                <w:rFonts w:hint="eastAsia" w:ascii="仿宋" w:hAnsi="仿宋" w:eastAsia="仿宋" w:cs="仿宋"/>
                <w:bCs/>
                <w:snapToGrid w:val="0"/>
                <w:sz w:val="24"/>
                <w:highlight w:val="none"/>
                <w:lang w:val="en-US" w:eastAsia="zh-CN"/>
              </w:rPr>
              <w:t>甲方</w:t>
            </w:r>
            <w:r>
              <w:rPr>
                <w:rFonts w:hint="eastAsia" w:ascii="仿宋" w:hAnsi="仿宋" w:eastAsia="仿宋" w:cs="仿宋"/>
                <w:bCs/>
                <w:snapToGrid w:val="0"/>
                <w:sz w:val="24"/>
                <w:highlight w:val="none"/>
              </w:rPr>
              <w:t>指定地点</w:t>
            </w:r>
          </w:p>
        </w:tc>
        <w:tc>
          <w:tcPr>
            <w:tcW w:w="671" w:type="dxa"/>
            <w:tcBorders>
              <w:left w:val="single" w:color="auto" w:sz="4" w:space="0"/>
              <w:right w:val="single" w:color="auto" w:sz="4" w:space="0"/>
            </w:tcBorders>
            <w:shd w:val="clear" w:color="auto" w:fill="auto"/>
            <w:vAlign w:val="center"/>
          </w:tcPr>
          <w:p>
            <w:pPr>
              <w:keepNext w:val="0"/>
              <w:pageBreakBefore w:val="0"/>
              <w:widowControl w:val="0"/>
              <w:kinsoku/>
              <w:wordWrap/>
              <w:overflowPunct/>
              <w:topLinePunct w:val="0"/>
              <w:autoSpaceDE/>
              <w:autoSpaceDN/>
              <w:bidi w:val="0"/>
              <w:spacing w:line="600" w:lineRule="exact"/>
              <w:jc w:val="center"/>
              <w:textAlignment w:val="auto"/>
              <w:rPr>
                <w:rFonts w:hint="eastAsia" w:ascii="仿宋" w:hAnsi="仿宋" w:eastAsia="仿宋" w:cs="仿宋"/>
                <w:bCs/>
                <w:snapToGrid w:val="0"/>
                <w:sz w:val="24"/>
                <w:highlight w:val="none"/>
              </w:rPr>
            </w:pPr>
            <w:r>
              <w:rPr>
                <w:rFonts w:hint="eastAsia" w:ascii="仿宋" w:hAnsi="仿宋" w:eastAsia="仿宋" w:cs="仿宋"/>
                <w:bCs/>
                <w:snapToGrid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9154" w:type="dxa"/>
            <w:gridSpan w:val="9"/>
            <w:tcBorders>
              <w:top w:val="single" w:color="auto" w:sz="4" w:space="0"/>
              <w:left w:val="single" w:color="auto" w:sz="4" w:space="0"/>
              <w:bottom w:val="single" w:color="auto" w:sz="4" w:space="0"/>
              <w:right w:val="single" w:color="auto" w:sz="4" w:space="0"/>
            </w:tcBorders>
            <w:vAlign w:val="center"/>
          </w:tcPr>
          <w:p>
            <w:pPr>
              <w:keepNext w:val="0"/>
              <w:pageBreakBefore w:val="0"/>
              <w:widowControl w:val="0"/>
              <w:kinsoku/>
              <w:wordWrap/>
              <w:overflowPunct/>
              <w:topLinePunct w:val="0"/>
              <w:autoSpaceDE/>
              <w:autoSpaceDN/>
              <w:bidi w:val="0"/>
              <w:spacing w:line="600" w:lineRule="exact"/>
              <w:textAlignment w:val="auto"/>
              <w:rPr>
                <w:rFonts w:hint="eastAsia" w:ascii="仿宋" w:hAnsi="仿宋" w:eastAsia="仿宋" w:cs="仿宋"/>
                <w:b/>
                <w:bCs w:val="0"/>
                <w:snapToGrid w:val="0"/>
                <w:sz w:val="24"/>
                <w:highlight w:val="none"/>
              </w:rPr>
            </w:pPr>
            <w:r>
              <w:rPr>
                <w:rFonts w:hint="eastAsia" w:ascii="仿宋" w:hAnsi="仿宋" w:eastAsia="仿宋" w:cs="仿宋"/>
                <w:b/>
                <w:bCs w:val="0"/>
                <w:snapToGrid w:val="0"/>
                <w:sz w:val="24"/>
                <w:highlight w:val="none"/>
              </w:rPr>
              <w:t>说明：</w:t>
            </w:r>
          </w:p>
          <w:p>
            <w:pPr>
              <w:keepNext w:val="0"/>
              <w:pageBreakBefore w:val="0"/>
              <w:widowControl w:val="0"/>
              <w:kinsoku/>
              <w:wordWrap/>
              <w:overflowPunct/>
              <w:topLinePunct w:val="0"/>
              <w:autoSpaceDE/>
              <w:autoSpaceDN/>
              <w:bidi w:val="0"/>
              <w:spacing w:line="60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rPr>
              <w:t>1.</w:t>
            </w:r>
            <w:r>
              <w:rPr>
                <w:rFonts w:hint="eastAsia" w:ascii="仿宋" w:hAnsi="仿宋" w:eastAsia="仿宋" w:cs="仿宋"/>
                <w:bCs/>
                <w:sz w:val="24"/>
                <w:highlight w:val="none"/>
                <w:lang w:eastAsia="zh-CN"/>
              </w:rPr>
              <w:t>研发承接单位</w:t>
            </w:r>
            <w:r>
              <w:rPr>
                <w:rFonts w:hint="eastAsia" w:ascii="仿宋" w:hAnsi="仿宋" w:eastAsia="仿宋" w:cs="仿宋"/>
                <w:bCs/>
                <w:sz w:val="24"/>
                <w:highlight w:val="none"/>
              </w:rPr>
              <w:t>应当对所投包内所有</w:t>
            </w:r>
            <w:r>
              <w:rPr>
                <w:rFonts w:hint="eastAsia" w:ascii="仿宋" w:hAnsi="仿宋" w:eastAsia="仿宋" w:cs="仿宋"/>
                <w:bCs/>
                <w:sz w:val="24"/>
                <w:highlight w:val="none"/>
                <w:lang w:val="en-US" w:eastAsia="zh-CN"/>
              </w:rPr>
              <w:t>功能</w:t>
            </w:r>
            <w:r>
              <w:rPr>
                <w:rFonts w:hint="eastAsia" w:ascii="仿宋" w:hAnsi="仿宋" w:eastAsia="仿宋" w:cs="仿宋"/>
                <w:bCs/>
                <w:sz w:val="24"/>
                <w:highlight w:val="none"/>
              </w:rPr>
              <w:t>和数量进行唯一报价，否则视为无效报价。</w:t>
            </w:r>
          </w:p>
          <w:p>
            <w:pPr>
              <w:keepNext w:val="0"/>
              <w:pageBreakBefore w:val="0"/>
              <w:widowControl w:val="0"/>
              <w:kinsoku/>
              <w:wordWrap/>
              <w:overflowPunct/>
              <w:topLinePunct w:val="0"/>
              <w:autoSpaceDE/>
              <w:autoSpaceDN/>
              <w:bidi w:val="0"/>
              <w:spacing w:line="600" w:lineRule="exact"/>
              <w:ind w:firstLine="480" w:firstLineChars="200"/>
              <w:textAlignment w:val="auto"/>
              <w:rPr>
                <w:rFonts w:hint="eastAsia" w:ascii="宋体" w:hAnsi="宋体"/>
                <w:bCs/>
                <w:sz w:val="24"/>
                <w:highlight w:val="none"/>
              </w:rPr>
            </w:pPr>
            <w:r>
              <w:rPr>
                <w:rFonts w:hint="eastAsia" w:ascii="仿宋" w:hAnsi="仿宋" w:eastAsia="仿宋" w:cs="仿宋"/>
                <w:bCs/>
                <w:sz w:val="24"/>
                <w:highlight w:val="none"/>
              </w:rPr>
              <w:t>※2.报价应当包括所有</w:t>
            </w:r>
            <w:r>
              <w:rPr>
                <w:rFonts w:hint="eastAsia" w:ascii="仿宋" w:hAnsi="仿宋" w:eastAsia="仿宋" w:cs="仿宋"/>
                <w:bCs/>
                <w:sz w:val="24"/>
                <w:highlight w:val="none"/>
                <w:lang w:val="en-US" w:eastAsia="zh-CN"/>
              </w:rPr>
              <w:t>研发费用</w:t>
            </w:r>
            <w:r>
              <w:rPr>
                <w:rFonts w:hint="eastAsia" w:ascii="仿宋" w:hAnsi="仿宋" w:eastAsia="仿宋" w:cs="仿宋"/>
                <w:bCs/>
                <w:sz w:val="24"/>
                <w:highlight w:val="none"/>
              </w:rPr>
              <w:t>、安装调试、技术培训、售后服务和伴随服务等价格。</w:t>
            </w:r>
          </w:p>
        </w:tc>
      </w:tr>
    </w:tbl>
    <w:p>
      <w:pPr>
        <w:keepNext w:val="0"/>
        <w:pageBreakBefore w:val="0"/>
        <w:widowControl w:val="0"/>
        <w:kinsoku/>
        <w:wordWrap/>
        <w:overflowPunct/>
        <w:topLinePunct w:val="0"/>
        <w:autoSpaceDE/>
        <w:autoSpaceDN/>
        <w:bidi w:val="0"/>
        <w:spacing w:line="600" w:lineRule="exact"/>
        <w:ind w:firstLine="640" w:firstLineChars="200"/>
        <w:textAlignment w:val="auto"/>
        <w:rPr>
          <w:rFonts w:hint="eastAsia" w:ascii="宋体" w:hAnsi="宋体"/>
          <w:bCs/>
          <w:sz w:val="32"/>
          <w:szCs w:val="32"/>
        </w:rPr>
      </w:pPr>
      <w:r>
        <w:rPr>
          <w:rFonts w:hint="eastAsia" w:ascii="楷体" w:hAnsi="楷体" w:eastAsia="楷体" w:cs="楷体"/>
          <w:bCs/>
          <w:sz w:val="32"/>
          <w:szCs w:val="32"/>
          <w:lang w:eastAsia="zh-CN"/>
        </w:rPr>
        <w:t>（</w:t>
      </w:r>
      <w:r>
        <w:rPr>
          <w:rFonts w:hint="eastAsia" w:ascii="楷体" w:hAnsi="楷体" w:eastAsia="楷体" w:cs="楷体"/>
          <w:bCs/>
          <w:sz w:val="32"/>
          <w:szCs w:val="32"/>
          <w:lang w:val="en-US" w:eastAsia="zh-CN"/>
        </w:rPr>
        <w:t>一</w:t>
      </w:r>
      <w:r>
        <w:rPr>
          <w:rFonts w:hint="eastAsia" w:ascii="楷体" w:hAnsi="楷体" w:eastAsia="楷体" w:cs="楷体"/>
          <w:bCs/>
          <w:sz w:val="32"/>
          <w:szCs w:val="32"/>
          <w:lang w:eastAsia="zh-CN"/>
        </w:rPr>
        <w:t>）</w:t>
      </w:r>
      <w:r>
        <w:rPr>
          <w:rFonts w:hint="eastAsia" w:ascii="楷体" w:hAnsi="楷体" w:eastAsia="楷体" w:cs="楷体"/>
          <w:bCs/>
          <w:sz w:val="32"/>
          <w:szCs w:val="32"/>
        </w:rPr>
        <w:t>本项目是否接受联合体磋商：</w:t>
      </w:r>
      <w:r>
        <w:rPr>
          <w:rFonts w:hint="eastAsia" w:ascii="仿宋" w:hAnsi="仿宋" w:eastAsia="仿宋" w:cs="仿宋"/>
          <w:bCs/>
          <w:sz w:val="32"/>
          <w:szCs w:val="32"/>
          <w:highlight w:val="none"/>
          <w:u w:val="single"/>
          <w:lang w:val="en-US" w:eastAsia="zh-CN"/>
        </w:rPr>
        <w:t>不接受；</w:t>
      </w:r>
    </w:p>
    <w:p>
      <w:pPr>
        <w:keepNext w:val="0"/>
        <w:pageBreakBefore w:val="0"/>
        <w:widowControl w:val="0"/>
        <w:kinsoku/>
        <w:wordWrap/>
        <w:overflowPunct/>
        <w:topLinePunct w:val="0"/>
        <w:autoSpaceDE/>
        <w:autoSpaceDN/>
        <w:bidi w:val="0"/>
        <w:spacing w:line="600" w:lineRule="exact"/>
        <w:ind w:firstLine="640" w:firstLineChars="200"/>
        <w:textAlignment w:val="auto"/>
        <w:rPr>
          <w:rFonts w:hint="eastAsia" w:ascii="宋体" w:hAnsi="宋体"/>
          <w:bCs/>
          <w:sz w:val="32"/>
          <w:szCs w:val="32"/>
          <w:highlight w:val="none"/>
          <w:u w:val="single"/>
        </w:rPr>
      </w:pPr>
      <w:r>
        <w:rPr>
          <w:rFonts w:hint="eastAsia" w:ascii="楷体" w:hAnsi="楷体" w:eastAsia="楷体" w:cs="楷体"/>
          <w:bCs/>
          <w:sz w:val="32"/>
          <w:szCs w:val="32"/>
          <w:lang w:eastAsia="zh-CN"/>
        </w:rPr>
        <w:t>（</w:t>
      </w:r>
      <w:r>
        <w:rPr>
          <w:rFonts w:hint="eastAsia" w:ascii="楷体" w:hAnsi="楷体" w:eastAsia="楷体" w:cs="楷体"/>
          <w:bCs/>
          <w:sz w:val="32"/>
          <w:szCs w:val="32"/>
          <w:lang w:val="en-US" w:eastAsia="zh-CN"/>
        </w:rPr>
        <w:t>二</w:t>
      </w:r>
      <w:r>
        <w:rPr>
          <w:rFonts w:hint="eastAsia" w:ascii="楷体" w:hAnsi="楷体" w:eastAsia="楷体" w:cs="楷体"/>
          <w:bCs/>
          <w:sz w:val="32"/>
          <w:szCs w:val="32"/>
          <w:lang w:eastAsia="zh-CN"/>
        </w:rPr>
        <w:t>）</w:t>
      </w:r>
      <w:r>
        <w:rPr>
          <w:rFonts w:hint="eastAsia" w:ascii="楷体" w:hAnsi="楷体" w:eastAsia="楷体" w:cs="楷体"/>
          <w:bCs/>
          <w:sz w:val="32"/>
          <w:szCs w:val="32"/>
          <w:highlight w:val="none"/>
        </w:rPr>
        <w:t>项目预算：</w:t>
      </w:r>
      <w:r>
        <w:rPr>
          <w:rFonts w:hint="eastAsia" w:ascii="仿宋" w:hAnsi="仿宋" w:eastAsia="仿宋" w:cs="仿宋"/>
          <w:bCs/>
          <w:sz w:val="32"/>
          <w:szCs w:val="32"/>
          <w:highlight w:val="none"/>
          <w:u w:val="single"/>
          <w:lang w:val="en-US" w:eastAsia="zh-CN"/>
        </w:rPr>
        <w:t xml:space="preserve">160万元 </w:t>
      </w:r>
      <w:r>
        <w:rPr>
          <w:rFonts w:hint="eastAsia" w:ascii="仿宋" w:hAnsi="仿宋" w:eastAsia="仿宋" w:cs="仿宋"/>
          <w:bCs/>
          <w:sz w:val="32"/>
          <w:szCs w:val="32"/>
          <w:highlight w:val="none"/>
        </w:rPr>
        <w:t>；</w:t>
      </w:r>
    </w:p>
    <w:p>
      <w:pPr>
        <w:keepNext w:val="0"/>
        <w:pageBreakBefore w:val="0"/>
        <w:widowControl w:val="0"/>
        <w:kinsoku/>
        <w:wordWrap/>
        <w:overflowPunct/>
        <w:topLinePunct w:val="0"/>
        <w:autoSpaceDE/>
        <w:autoSpaceDN/>
        <w:bidi w:val="0"/>
        <w:spacing w:line="600" w:lineRule="exact"/>
        <w:ind w:firstLine="640" w:firstLineChars="200"/>
        <w:textAlignment w:val="auto"/>
        <w:rPr>
          <w:rFonts w:hint="eastAsia" w:ascii="宋体" w:hAnsi="宋体"/>
          <w:bCs/>
          <w:sz w:val="32"/>
          <w:szCs w:val="32"/>
          <w:highlight w:val="none"/>
        </w:rPr>
      </w:pP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lang w:val="en-US" w:eastAsia="zh-CN"/>
        </w:rPr>
        <w:t>三</w:t>
      </w:r>
      <w:r>
        <w:rPr>
          <w:rFonts w:hint="eastAsia" w:ascii="楷体" w:hAnsi="楷体" w:eastAsia="楷体" w:cs="楷体"/>
          <w:bCs/>
          <w:sz w:val="32"/>
          <w:szCs w:val="32"/>
          <w:highlight w:val="none"/>
          <w:lang w:eastAsia="zh-CN"/>
        </w:rPr>
        <w:t>）</w:t>
      </w:r>
      <w:r>
        <w:rPr>
          <w:rFonts w:hint="eastAsia" w:ascii="楷体" w:hAnsi="楷体" w:eastAsia="楷体" w:cs="楷体"/>
          <w:bCs/>
          <w:sz w:val="32"/>
          <w:szCs w:val="32"/>
          <w:highlight w:val="none"/>
        </w:rPr>
        <w:t>最高限价：</w:t>
      </w:r>
      <w:r>
        <w:rPr>
          <w:rFonts w:hint="eastAsia" w:ascii="仿宋" w:hAnsi="仿宋" w:eastAsia="仿宋" w:cs="仿宋"/>
          <w:bCs/>
          <w:sz w:val="32"/>
          <w:szCs w:val="32"/>
          <w:highlight w:val="none"/>
          <w:u w:val="single"/>
          <w:lang w:val="en-US" w:eastAsia="zh-CN"/>
        </w:rPr>
        <w:t>160</w:t>
      </w:r>
      <w:r>
        <w:rPr>
          <w:rFonts w:hint="eastAsia" w:ascii="仿宋" w:hAnsi="仿宋" w:eastAsia="仿宋" w:cs="仿宋"/>
          <w:bCs/>
          <w:sz w:val="32"/>
          <w:szCs w:val="32"/>
          <w:highlight w:val="none"/>
          <w:u w:val="single"/>
        </w:rPr>
        <w:t>万元</w:t>
      </w:r>
      <w:r>
        <w:rPr>
          <w:rFonts w:hint="eastAsia" w:ascii="仿宋" w:hAnsi="仿宋" w:eastAsia="仿宋" w:cs="仿宋"/>
          <w:bCs/>
          <w:sz w:val="32"/>
          <w:szCs w:val="32"/>
          <w:highlight w:val="none"/>
        </w:rPr>
        <w:t>；</w:t>
      </w:r>
    </w:p>
    <w:p>
      <w:pPr>
        <w:keepNext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cs="仿宋"/>
          <w:bCs/>
          <w:sz w:val="32"/>
          <w:szCs w:val="32"/>
        </w:rPr>
      </w:pPr>
      <w:r>
        <w:rPr>
          <w:rFonts w:hint="eastAsia" w:ascii="楷体" w:hAnsi="楷体" w:eastAsia="楷体" w:cs="楷体"/>
          <w:bCs/>
          <w:sz w:val="32"/>
          <w:szCs w:val="32"/>
          <w:lang w:eastAsia="zh-CN"/>
        </w:rPr>
        <w:t>（</w:t>
      </w:r>
      <w:r>
        <w:rPr>
          <w:rFonts w:hint="eastAsia" w:ascii="楷体" w:hAnsi="楷体" w:eastAsia="楷体" w:cs="楷体"/>
          <w:bCs/>
          <w:sz w:val="32"/>
          <w:szCs w:val="32"/>
          <w:lang w:val="en-US" w:eastAsia="zh-CN"/>
        </w:rPr>
        <w:t>四</w:t>
      </w:r>
      <w:r>
        <w:rPr>
          <w:rFonts w:hint="eastAsia" w:ascii="楷体" w:hAnsi="楷体" w:eastAsia="楷体" w:cs="楷体"/>
          <w:bCs/>
          <w:sz w:val="32"/>
          <w:szCs w:val="32"/>
          <w:lang w:eastAsia="zh-CN"/>
        </w:rPr>
        <w:t>）</w:t>
      </w:r>
      <w:r>
        <w:rPr>
          <w:rFonts w:hint="eastAsia" w:ascii="仿宋" w:hAnsi="仿宋" w:eastAsia="仿宋" w:cs="仿宋"/>
          <w:bCs/>
          <w:sz w:val="32"/>
          <w:szCs w:val="32"/>
        </w:rPr>
        <w:t>本项目确定1 家</w:t>
      </w:r>
      <w:r>
        <w:rPr>
          <w:rFonts w:hint="eastAsia" w:ascii="仿宋" w:hAnsi="仿宋" w:eastAsia="仿宋" w:cs="仿宋"/>
          <w:bCs/>
          <w:sz w:val="32"/>
          <w:szCs w:val="32"/>
          <w:lang w:eastAsia="zh-CN"/>
        </w:rPr>
        <w:t>研发承接单位</w:t>
      </w:r>
      <w:r>
        <w:rPr>
          <w:rFonts w:hint="eastAsia" w:ascii="仿宋" w:hAnsi="仿宋" w:eastAsia="仿宋" w:cs="仿宋"/>
          <w:bCs/>
          <w:sz w:val="32"/>
          <w:szCs w:val="32"/>
        </w:rPr>
        <w:t>成交，成交价格确定方式按照磋商定价执行，</w:t>
      </w:r>
      <w:r>
        <w:rPr>
          <w:rFonts w:hint="eastAsia" w:ascii="仿宋" w:hAnsi="仿宋" w:eastAsia="仿宋" w:cs="仿宋"/>
          <w:bCs/>
          <w:sz w:val="32"/>
          <w:szCs w:val="32"/>
          <w:lang w:eastAsia="zh-CN"/>
        </w:rPr>
        <w:t>研发承接单位</w:t>
      </w:r>
      <w:r>
        <w:rPr>
          <w:rFonts w:hint="eastAsia" w:ascii="仿宋" w:hAnsi="仿宋" w:eastAsia="仿宋" w:cs="仿宋"/>
          <w:bCs/>
          <w:sz w:val="32"/>
          <w:szCs w:val="32"/>
        </w:rPr>
        <w:t>报名参加数量不少于3家，若少于3家则重新发布公告。</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eastAsia="黑体"/>
          <w:bCs/>
          <w:sz w:val="32"/>
          <w:szCs w:val="32"/>
        </w:rPr>
      </w:pPr>
      <w:r>
        <w:rPr>
          <w:rFonts w:hint="eastAsia" w:eastAsia="黑体"/>
          <w:bCs/>
          <w:sz w:val="32"/>
          <w:szCs w:val="32"/>
          <w:lang w:val="en-US" w:eastAsia="zh-CN"/>
        </w:rPr>
        <w:t>三</w:t>
      </w:r>
      <w:r>
        <w:rPr>
          <w:rFonts w:hint="eastAsia" w:eastAsia="黑体"/>
          <w:bCs/>
          <w:sz w:val="32"/>
          <w:szCs w:val="32"/>
        </w:rPr>
        <w:t>、</w:t>
      </w:r>
      <w:r>
        <w:rPr>
          <w:rFonts w:hint="eastAsia" w:eastAsia="黑体"/>
          <w:bCs/>
          <w:sz w:val="32"/>
          <w:szCs w:val="32"/>
          <w:lang w:val="en-US" w:eastAsia="zh-CN"/>
        </w:rPr>
        <w:t>磋商</w:t>
      </w:r>
      <w:r>
        <w:rPr>
          <w:rFonts w:hint="eastAsia" w:eastAsia="黑体"/>
          <w:bCs/>
          <w:sz w:val="32"/>
          <w:szCs w:val="32"/>
        </w:rPr>
        <w:t>文件申领时间、地点、方式</w:t>
      </w:r>
    </w:p>
    <w:p>
      <w:pPr>
        <w:pStyle w:val="7"/>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580" w:lineRule="exact"/>
        <w:ind w:leftChars="0" w:right="0" w:firstLine="640" w:firstLineChars="200"/>
        <w:jc w:val="left"/>
        <w:textAlignment w:val="baseline"/>
        <w:rPr>
          <w:rFonts w:hint="eastAsia" w:ascii="仿宋" w:hAnsi="仿宋" w:eastAsia="仿宋" w:cs="仿宋"/>
          <w:i w:val="0"/>
          <w:iCs w:val="0"/>
          <w:caps w:val="0"/>
          <w:color w:val="383838"/>
          <w:spacing w:val="0"/>
          <w:sz w:val="32"/>
          <w:szCs w:val="32"/>
          <w:highlight w:val="none"/>
        </w:rPr>
      </w:pPr>
      <w:r>
        <w:rPr>
          <w:rFonts w:hint="eastAsia" w:ascii="楷体" w:hAnsi="楷体" w:eastAsia="楷体" w:cs="楷体"/>
          <w:i w:val="0"/>
          <w:iCs w:val="0"/>
          <w:caps w:val="0"/>
          <w:color w:val="383838"/>
          <w:spacing w:val="0"/>
          <w:sz w:val="32"/>
          <w:szCs w:val="32"/>
          <w:highlight w:val="none"/>
          <w:shd w:val="clear" w:fill="FFFFFF"/>
          <w:vertAlign w:val="baseline"/>
          <w:lang w:eastAsia="zh-CN"/>
        </w:rPr>
        <w:t>（</w:t>
      </w: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一</w:t>
      </w:r>
      <w:r>
        <w:rPr>
          <w:rFonts w:hint="eastAsia" w:ascii="楷体" w:hAnsi="楷体" w:eastAsia="楷体" w:cs="楷体"/>
          <w:i w:val="0"/>
          <w:iCs w:val="0"/>
          <w:caps w:val="0"/>
          <w:color w:val="383838"/>
          <w:spacing w:val="0"/>
          <w:sz w:val="32"/>
          <w:szCs w:val="32"/>
          <w:highlight w:val="none"/>
          <w:shd w:val="clear" w:fill="FFFFFF"/>
          <w:vertAlign w:val="baseline"/>
          <w:lang w:eastAsia="zh-CN"/>
        </w:rPr>
        <w:t>）</w:t>
      </w:r>
      <w:r>
        <w:rPr>
          <w:rFonts w:hint="eastAsia" w:ascii="楷体" w:hAnsi="楷体" w:eastAsia="楷体" w:cs="楷体"/>
          <w:i w:val="0"/>
          <w:iCs w:val="0"/>
          <w:caps w:val="0"/>
          <w:color w:val="383838"/>
          <w:spacing w:val="0"/>
          <w:sz w:val="32"/>
          <w:szCs w:val="32"/>
          <w:highlight w:val="none"/>
          <w:shd w:val="clear" w:fill="FFFFFF"/>
          <w:vertAlign w:val="baseline"/>
        </w:rPr>
        <w:t>申领时间：</w:t>
      </w:r>
      <w:r>
        <w:rPr>
          <w:rFonts w:hint="eastAsia" w:ascii="仿宋" w:hAnsi="仿宋" w:eastAsia="仿宋" w:cs="仿宋"/>
          <w:i w:val="0"/>
          <w:iCs w:val="0"/>
          <w:caps w:val="0"/>
          <w:color w:val="383838"/>
          <w:spacing w:val="0"/>
          <w:sz w:val="32"/>
          <w:szCs w:val="32"/>
          <w:highlight w:val="none"/>
          <w:shd w:val="clear" w:fill="FFFFFF"/>
          <w:vertAlign w:val="baseline"/>
        </w:rPr>
        <w:t>2024年</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12</w:t>
      </w:r>
      <w:r>
        <w:rPr>
          <w:rFonts w:hint="eastAsia" w:ascii="仿宋" w:hAnsi="仿宋" w:eastAsia="仿宋" w:cs="仿宋"/>
          <w:i w:val="0"/>
          <w:iCs w:val="0"/>
          <w:caps w:val="0"/>
          <w:color w:val="383838"/>
          <w:spacing w:val="0"/>
          <w:sz w:val="32"/>
          <w:szCs w:val="32"/>
          <w:highlight w:val="none"/>
          <w:shd w:val="clear" w:fill="FFFFFF"/>
          <w:vertAlign w:val="baseline"/>
        </w:rPr>
        <w:t>月</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w:t>
      </w:r>
      <w:r>
        <w:rPr>
          <w:rFonts w:hint="eastAsia" w:ascii="仿宋" w:hAnsi="仿宋" w:eastAsia="仿宋" w:cs="仿宋"/>
          <w:i w:val="0"/>
          <w:iCs w:val="0"/>
          <w:caps w:val="0"/>
          <w:color w:val="383838"/>
          <w:spacing w:val="0"/>
          <w:sz w:val="32"/>
          <w:szCs w:val="32"/>
          <w:highlight w:val="none"/>
          <w:shd w:val="clear" w:fill="FFFFFF"/>
          <w:vertAlign w:val="baseline"/>
        </w:rPr>
        <w:t>日至</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12</w:t>
      </w:r>
      <w:r>
        <w:rPr>
          <w:rFonts w:hint="eastAsia" w:ascii="仿宋" w:hAnsi="仿宋" w:eastAsia="仿宋" w:cs="仿宋"/>
          <w:i w:val="0"/>
          <w:iCs w:val="0"/>
          <w:caps w:val="0"/>
          <w:color w:val="383838"/>
          <w:spacing w:val="0"/>
          <w:sz w:val="32"/>
          <w:szCs w:val="32"/>
          <w:highlight w:val="none"/>
          <w:shd w:val="clear" w:fill="FFFFFF"/>
          <w:vertAlign w:val="baseline"/>
        </w:rPr>
        <w:t>月</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12</w:t>
      </w:r>
      <w:r>
        <w:rPr>
          <w:rFonts w:hint="eastAsia" w:ascii="仿宋" w:hAnsi="仿宋" w:eastAsia="仿宋" w:cs="仿宋"/>
          <w:i w:val="0"/>
          <w:iCs w:val="0"/>
          <w:caps w:val="0"/>
          <w:color w:val="383838"/>
          <w:spacing w:val="0"/>
          <w:sz w:val="32"/>
          <w:szCs w:val="32"/>
          <w:highlight w:val="none"/>
          <w:shd w:val="clear" w:fill="FFFFFF"/>
          <w:vertAlign w:val="baseline"/>
        </w:rPr>
        <w:t>日，每日上午09 : 00至 1</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w:t>
      </w:r>
      <w:r>
        <w:rPr>
          <w:rFonts w:hint="eastAsia" w:ascii="仿宋" w:hAnsi="仿宋" w:eastAsia="仿宋" w:cs="仿宋"/>
          <w:i w:val="0"/>
          <w:iCs w:val="0"/>
          <w:caps w:val="0"/>
          <w:color w:val="383838"/>
          <w:spacing w:val="0"/>
          <w:sz w:val="32"/>
          <w:szCs w:val="32"/>
          <w:highlight w:val="none"/>
          <w:shd w:val="clear" w:fill="FFFFFF"/>
          <w:vertAlign w:val="baseline"/>
        </w:rPr>
        <w:t>:00，下午 1</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4</w:t>
      </w:r>
      <w:r>
        <w:rPr>
          <w:rFonts w:hint="eastAsia" w:ascii="仿宋" w:hAnsi="仿宋" w:eastAsia="仿宋" w:cs="仿宋"/>
          <w:i w:val="0"/>
          <w:iCs w:val="0"/>
          <w:caps w:val="0"/>
          <w:color w:val="383838"/>
          <w:spacing w:val="0"/>
          <w:sz w:val="32"/>
          <w:szCs w:val="32"/>
          <w:highlight w:val="none"/>
          <w:shd w:val="clear" w:fill="FFFFFF"/>
          <w:vertAlign w:val="baseline"/>
        </w:rPr>
        <w:t>:</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w:t>
      </w:r>
      <w:r>
        <w:rPr>
          <w:rFonts w:hint="eastAsia" w:ascii="仿宋" w:hAnsi="仿宋" w:eastAsia="仿宋" w:cs="仿宋"/>
          <w:i w:val="0"/>
          <w:iCs w:val="0"/>
          <w:caps w:val="0"/>
          <w:color w:val="383838"/>
          <w:spacing w:val="0"/>
          <w:sz w:val="32"/>
          <w:szCs w:val="32"/>
          <w:highlight w:val="none"/>
          <w:shd w:val="clear" w:fill="FFFFFF"/>
          <w:vertAlign w:val="baseline"/>
        </w:rPr>
        <w:t>0 至1</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7</w:t>
      </w:r>
      <w:r>
        <w:rPr>
          <w:rFonts w:hint="eastAsia" w:ascii="仿宋" w:hAnsi="仿宋" w:eastAsia="仿宋" w:cs="仿宋"/>
          <w:i w:val="0"/>
          <w:iCs w:val="0"/>
          <w:caps w:val="0"/>
          <w:color w:val="383838"/>
          <w:spacing w:val="0"/>
          <w:sz w:val="32"/>
          <w:szCs w:val="32"/>
          <w:highlight w:val="none"/>
          <w:shd w:val="clear" w:fill="FFFFFF"/>
          <w:vertAlign w:val="baseline"/>
        </w:rPr>
        <w:t>:30</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北京时间，</w:t>
      </w:r>
      <w:r>
        <w:rPr>
          <w:rFonts w:hint="eastAsia" w:ascii="仿宋" w:hAnsi="仿宋" w:eastAsia="仿宋" w:cs="仿宋"/>
          <w:i w:val="0"/>
          <w:iCs w:val="0"/>
          <w:caps w:val="0"/>
          <w:color w:val="383838"/>
          <w:spacing w:val="0"/>
          <w:sz w:val="32"/>
          <w:szCs w:val="32"/>
          <w:highlight w:val="none"/>
          <w:shd w:val="clear" w:fill="FFFFFF"/>
          <w:vertAlign w:val="baseline"/>
        </w:rPr>
        <w:t>双休日及法定节假日除外</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r>
        <w:rPr>
          <w:rFonts w:hint="eastAsia" w:ascii="仿宋" w:hAnsi="仿宋" w:eastAsia="仿宋" w:cs="仿宋"/>
          <w:i w:val="0"/>
          <w:iCs w:val="0"/>
          <w:caps w:val="0"/>
          <w:color w:val="383838"/>
          <w:spacing w:val="0"/>
          <w:sz w:val="32"/>
          <w:szCs w:val="32"/>
          <w:highlight w:val="none"/>
          <w:shd w:val="clear" w:fill="FFFFFF"/>
          <w:vertAlign w:val="baseline"/>
        </w:rPr>
        <w:t>。</w:t>
      </w:r>
    </w:p>
    <w:p>
      <w:pPr>
        <w:pStyle w:val="7"/>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75" w:beforeAutospacing="0" w:after="0" w:afterAutospacing="0" w:line="580" w:lineRule="exact"/>
        <w:ind w:right="0" w:firstLine="640" w:firstLineChars="200"/>
        <w:jc w:val="left"/>
        <w:textAlignment w:val="baseline"/>
        <w:rPr>
          <w:rFonts w:hint="eastAsia" w:ascii="仿宋" w:hAnsi="仿宋" w:eastAsia="仿宋" w:cs="仿宋"/>
          <w:i w:val="0"/>
          <w:iCs w:val="0"/>
          <w:caps w:val="0"/>
          <w:color w:val="383838"/>
          <w:spacing w:val="0"/>
          <w:sz w:val="32"/>
          <w:szCs w:val="32"/>
          <w:highlight w:val="none"/>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（二）</w:t>
      </w:r>
      <w:r>
        <w:rPr>
          <w:rFonts w:hint="eastAsia" w:ascii="楷体" w:hAnsi="楷体" w:eastAsia="楷体" w:cs="楷体"/>
          <w:i w:val="0"/>
          <w:iCs w:val="0"/>
          <w:caps w:val="0"/>
          <w:color w:val="383838"/>
          <w:spacing w:val="0"/>
          <w:sz w:val="32"/>
          <w:szCs w:val="32"/>
          <w:highlight w:val="none"/>
          <w:shd w:val="clear" w:fill="FFFFFF"/>
          <w:vertAlign w:val="baseline"/>
        </w:rPr>
        <w:t>地点：</w:t>
      </w:r>
      <w:r>
        <w:rPr>
          <w:rFonts w:hint="eastAsia" w:ascii="仿宋" w:hAnsi="仿宋" w:eastAsia="仿宋"/>
          <w:color w:val="auto"/>
          <w:sz w:val="32"/>
          <w:highlight w:val="none"/>
          <w:lang w:val="en-US" w:eastAsia="zh-CN"/>
        </w:rPr>
        <w:t>海口市正义路3号海南金城405会议室</w:t>
      </w:r>
    </w:p>
    <w:p>
      <w:pPr>
        <w:keepNext w:val="0"/>
        <w:pageBreakBefore w:val="0"/>
        <w:widowControl w:val="0"/>
        <w:tabs>
          <w:tab w:val="left" w:pos="0"/>
        </w:tabs>
        <w:kinsoku/>
        <w:wordWrap/>
        <w:overflowPunct/>
        <w:topLinePunct w:val="0"/>
        <w:autoSpaceDE/>
        <w:autoSpaceDN/>
        <w:bidi w:val="0"/>
        <w:spacing w:line="600" w:lineRule="exact"/>
        <w:ind w:firstLine="640" w:firstLineChars="200"/>
        <w:textAlignment w:val="auto"/>
        <w:rPr>
          <w:rFonts w:hint="eastAsia" w:ascii="宋体" w:hAnsi="宋体"/>
          <w:bCs/>
          <w:sz w:val="32"/>
          <w:szCs w:val="32"/>
        </w:rPr>
      </w:pPr>
      <w:r>
        <w:rPr>
          <w:rFonts w:hint="eastAsia" w:ascii="楷体" w:hAnsi="楷体" w:eastAsia="楷体" w:cs="楷体"/>
          <w:i w:val="0"/>
          <w:iCs w:val="0"/>
          <w:caps w:val="0"/>
          <w:color w:val="383838"/>
          <w:spacing w:val="0"/>
          <w:sz w:val="32"/>
          <w:szCs w:val="32"/>
          <w:highlight w:val="none"/>
          <w:shd w:val="clear" w:fill="FFFFFF"/>
          <w:vertAlign w:val="baseline"/>
          <w:lang w:eastAsia="zh-CN"/>
        </w:rPr>
        <w:t>（</w:t>
      </w: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三</w:t>
      </w:r>
      <w:r>
        <w:rPr>
          <w:rFonts w:hint="eastAsia" w:ascii="楷体" w:hAnsi="楷体" w:eastAsia="楷体" w:cs="楷体"/>
          <w:i w:val="0"/>
          <w:iCs w:val="0"/>
          <w:caps w:val="0"/>
          <w:color w:val="383838"/>
          <w:spacing w:val="0"/>
          <w:sz w:val="32"/>
          <w:szCs w:val="32"/>
          <w:highlight w:val="none"/>
          <w:shd w:val="clear" w:fill="FFFFFF"/>
          <w:vertAlign w:val="baseline"/>
          <w:lang w:eastAsia="zh-CN"/>
        </w:rPr>
        <w:t>）</w:t>
      </w:r>
      <w:r>
        <w:rPr>
          <w:rFonts w:hint="eastAsia" w:ascii="楷体" w:hAnsi="楷体" w:eastAsia="楷体" w:cs="楷体"/>
          <w:i w:val="0"/>
          <w:iCs w:val="0"/>
          <w:caps w:val="0"/>
          <w:color w:val="383838"/>
          <w:spacing w:val="0"/>
          <w:sz w:val="32"/>
          <w:szCs w:val="32"/>
          <w:highlight w:val="none"/>
          <w:shd w:val="clear" w:fill="FFFFFF"/>
          <w:vertAlign w:val="baseline"/>
        </w:rPr>
        <w:t>申领</w:t>
      </w: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磋商</w:t>
      </w:r>
      <w:r>
        <w:rPr>
          <w:rFonts w:hint="eastAsia" w:ascii="楷体" w:hAnsi="楷体" w:eastAsia="楷体" w:cs="楷体"/>
          <w:i w:val="0"/>
          <w:iCs w:val="0"/>
          <w:caps w:val="0"/>
          <w:color w:val="383838"/>
          <w:spacing w:val="0"/>
          <w:sz w:val="32"/>
          <w:szCs w:val="32"/>
          <w:highlight w:val="none"/>
          <w:shd w:val="clear" w:fill="FFFFFF"/>
          <w:vertAlign w:val="baseline"/>
        </w:rPr>
        <w:t>文件时需提供以下材料：</w:t>
      </w:r>
    </w:p>
    <w:p>
      <w:pPr>
        <w:keepNext w:val="0"/>
        <w:pageBreakBefore w:val="0"/>
        <w:widowControl w:val="0"/>
        <w:tabs>
          <w:tab w:val="left" w:pos="0"/>
        </w:tabs>
        <w:kinsoku/>
        <w:wordWrap/>
        <w:overflowPunct/>
        <w:topLinePunct w:val="0"/>
        <w:autoSpaceDE/>
        <w:autoSpaceDN/>
        <w:bidi w:val="0"/>
        <w:spacing w:line="600" w:lineRule="exact"/>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1.营业执照或事业单位法人证书复印件加盖公章；</w:t>
      </w:r>
    </w:p>
    <w:p>
      <w:pPr>
        <w:keepNext w:val="0"/>
        <w:pageBreakBefore w:val="0"/>
        <w:widowControl w:val="0"/>
        <w:tabs>
          <w:tab w:val="left" w:pos="0"/>
        </w:tabs>
        <w:kinsoku/>
        <w:wordWrap/>
        <w:overflowPunct/>
        <w:topLinePunct w:val="0"/>
        <w:autoSpaceDE/>
        <w:autoSpaceDN/>
        <w:bidi w:val="0"/>
        <w:spacing w:line="600" w:lineRule="exact"/>
        <w:ind w:firstLine="640" w:firstLineChars="200"/>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2.法定代表人授权书原件，授权代表身份证和授权代表在报价前4个月内（不含报价当月）连续3个月由报价研发承接单位缴纳社保证明材料的复印件。</w:t>
      </w:r>
    </w:p>
    <w:p>
      <w:pPr>
        <w:keepNext w:val="0"/>
        <w:pageBreakBefore w:val="0"/>
        <w:widowControl w:val="0"/>
        <w:numPr>
          <w:ilvl w:val="0"/>
          <w:numId w:val="1"/>
        </w:numPr>
        <w:tabs>
          <w:tab w:val="left" w:pos="0"/>
        </w:tabs>
        <w:kinsoku/>
        <w:wordWrap/>
        <w:overflowPunct/>
        <w:topLinePunct w:val="0"/>
        <w:autoSpaceDE/>
        <w:autoSpaceDN/>
        <w:bidi w:val="0"/>
        <w:spacing w:line="600" w:lineRule="exact"/>
        <w:ind w:firstLine="640" w:firstLineChars="200"/>
        <w:textAlignment w:val="auto"/>
        <w:rPr>
          <w:rFonts w:hint="eastAsia" w:ascii="楷体" w:hAnsi="楷体" w:eastAsia="楷体" w:cs="楷体"/>
          <w:bCs/>
          <w:sz w:val="32"/>
          <w:szCs w:val="32"/>
        </w:rPr>
      </w:pPr>
      <w:r>
        <w:rPr>
          <w:rFonts w:hint="eastAsia" w:ascii="楷体" w:hAnsi="楷体" w:eastAsia="楷体" w:cs="楷体"/>
          <w:bCs/>
          <w:sz w:val="32"/>
          <w:szCs w:val="32"/>
        </w:rPr>
        <w:t>申领方式</w:t>
      </w:r>
    </w:p>
    <w:p>
      <w:pPr>
        <w:keepNext w:val="0"/>
        <w:pageBreakBefore w:val="0"/>
        <w:widowControl w:val="0"/>
        <w:tabs>
          <w:tab w:val="left" w:pos="0"/>
        </w:tabs>
        <w:kinsoku/>
        <w:wordWrap/>
        <w:overflowPunct/>
        <w:topLinePunct w:val="0"/>
        <w:autoSpaceDE/>
        <w:autoSpaceDN/>
        <w:bidi w:val="0"/>
        <w:spacing w:line="600" w:lineRule="exact"/>
        <w:ind w:firstLine="640" w:firstLineChars="200"/>
        <w:jc w:val="left"/>
        <w:textAlignment w:val="auto"/>
        <w:rPr>
          <w:rFonts w:hint="eastAsia" w:ascii="仿宋" w:hAnsi="仿宋" w:eastAsia="仿宋" w:cs="仿宋"/>
          <w:bCs/>
          <w:sz w:val="32"/>
          <w:szCs w:val="32"/>
          <w:lang w:val="en-US" w:eastAsia="zh-CN"/>
        </w:rPr>
      </w:pPr>
      <w:r>
        <w:rPr>
          <w:rFonts w:hint="eastAsia" w:ascii="仿宋" w:hAnsi="仿宋" w:eastAsia="仿宋" w:cs="仿宋"/>
          <w:bCs/>
          <w:sz w:val="32"/>
          <w:szCs w:val="32"/>
        </w:rPr>
        <w:t>※线下</w:t>
      </w:r>
      <w:r>
        <w:rPr>
          <w:rFonts w:hint="eastAsia" w:ascii="仿宋" w:hAnsi="仿宋" w:eastAsia="仿宋" w:cs="仿宋"/>
          <w:bCs/>
          <w:sz w:val="32"/>
          <w:szCs w:val="32"/>
          <w:lang w:val="en-US" w:eastAsia="zh-CN"/>
        </w:rPr>
        <w:t>申领</w:t>
      </w:r>
      <w:r>
        <w:rPr>
          <w:rFonts w:hint="eastAsia" w:ascii="仿宋" w:hAnsi="仿宋" w:eastAsia="仿宋" w:cs="仿宋"/>
          <w:bCs/>
          <w:sz w:val="32"/>
          <w:szCs w:val="32"/>
        </w:rPr>
        <w:t>。</w:t>
      </w:r>
      <w:r>
        <w:rPr>
          <w:rFonts w:hint="eastAsia" w:ascii="仿宋" w:hAnsi="仿宋" w:eastAsia="仿宋" w:cs="仿宋"/>
          <w:bCs/>
          <w:sz w:val="32"/>
          <w:szCs w:val="32"/>
          <w:lang w:eastAsia="zh-CN"/>
        </w:rPr>
        <w:t>研发承接单位</w:t>
      </w:r>
      <w:r>
        <w:rPr>
          <w:rFonts w:hint="eastAsia" w:ascii="仿宋" w:hAnsi="仿宋" w:eastAsia="仿宋" w:cs="仿宋"/>
          <w:bCs/>
          <w:sz w:val="32"/>
          <w:szCs w:val="32"/>
          <w:lang w:val="en-US" w:eastAsia="zh-CN"/>
        </w:rPr>
        <w:t>或授权代表应</w:t>
      </w:r>
      <w:r>
        <w:rPr>
          <w:rFonts w:hint="eastAsia" w:ascii="仿宋" w:hAnsi="仿宋" w:eastAsia="仿宋" w:cs="仿宋"/>
          <w:bCs/>
          <w:sz w:val="32"/>
          <w:szCs w:val="32"/>
        </w:rPr>
        <w:t>携带</w:t>
      </w:r>
      <w:r>
        <w:rPr>
          <w:rFonts w:hint="eastAsia" w:ascii="仿宋" w:hAnsi="仿宋" w:eastAsia="仿宋" w:cs="仿宋"/>
          <w:bCs/>
          <w:sz w:val="32"/>
          <w:szCs w:val="32"/>
          <w:lang w:val="en-US" w:eastAsia="zh-CN"/>
        </w:rPr>
        <w:t>相关证明文件</w:t>
      </w:r>
      <w:r>
        <w:rPr>
          <w:rFonts w:hint="eastAsia" w:ascii="仿宋" w:hAnsi="仿宋" w:eastAsia="仿宋" w:cs="仿宋"/>
          <w:bCs/>
          <w:sz w:val="32"/>
          <w:szCs w:val="32"/>
        </w:rPr>
        <w:t>赴报名现场，经审查合格后领取</w:t>
      </w:r>
      <w:r>
        <w:rPr>
          <w:rFonts w:hint="eastAsia" w:ascii="仿宋" w:hAnsi="仿宋" w:eastAsia="仿宋" w:cs="仿宋"/>
          <w:bCs/>
          <w:sz w:val="32"/>
          <w:szCs w:val="32"/>
          <w:lang w:eastAsia="zh-CN"/>
        </w:rPr>
        <w:t>。</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eastAsia="黑体"/>
          <w:bCs/>
          <w:sz w:val="32"/>
          <w:szCs w:val="32"/>
        </w:rPr>
      </w:pPr>
      <w:r>
        <w:rPr>
          <w:rFonts w:hint="eastAsia" w:eastAsia="黑体"/>
          <w:bCs/>
          <w:sz w:val="32"/>
          <w:szCs w:val="32"/>
        </w:rPr>
        <w:t>六、</w:t>
      </w:r>
      <w:r>
        <w:rPr>
          <w:rFonts w:hint="eastAsia" w:eastAsia="黑体"/>
          <w:bCs/>
          <w:sz w:val="32"/>
          <w:szCs w:val="32"/>
          <w:lang w:val="en-US" w:eastAsia="zh-CN"/>
        </w:rPr>
        <w:t>磋商</w:t>
      </w:r>
      <w:r>
        <w:rPr>
          <w:rFonts w:hint="eastAsia" w:eastAsia="黑体"/>
          <w:bCs/>
          <w:sz w:val="32"/>
          <w:szCs w:val="32"/>
        </w:rPr>
        <w:t>报价</w:t>
      </w:r>
      <w:r>
        <w:rPr>
          <w:rFonts w:eastAsia="黑体"/>
          <w:bCs/>
          <w:sz w:val="32"/>
          <w:szCs w:val="32"/>
        </w:rPr>
        <w:t>开始和截止时间及地点、方式</w:t>
      </w:r>
    </w:p>
    <w:p>
      <w:pPr>
        <w:keepNext w:val="0"/>
        <w:pageBreakBefore w:val="0"/>
        <w:widowControl w:val="0"/>
        <w:kinsoku/>
        <w:wordWrap/>
        <w:overflowPunct/>
        <w:topLinePunct w:val="0"/>
        <w:autoSpaceDE/>
        <w:autoSpaceDN/>
        <w:bidi w:val="0"/>
        <w:spacing w:line="600" w:lineRule="exact"/>
        <w:ind w:firstLine="640" w:firstLineChars="200"/>
        <w:textAlignment w:val="auto"/>
        <w:rPr>
          <w:bCs/>
          <w:sz w:val="32"/>
          <w:szCs w:val="32"/>
          <w:highlight w:val="none"/>
        </w:rPr>
      </w:pPr>
      <w:r>
        <w:rPr>
          <w:rFonts w:hint="eastAsia" w:ascii="楷体" w:hAnsi="楷体" w:eastAsia="楷体" w:cs="楷体"/>
          <w:bCs/>
          <w:sz w:val="32"/>
          <w:szCs w:val="32"/>
        </w:rPr>
        <w:t>（一）</w:t>
      </w:r>
      <w:r>
        <w:rPr>
          <w:rFonts w:hint="eastAsia" w:ascii="楷体" w:hAnsi="楷体" w:eastAsia="楷体" w:cs="楷体"/>
          <w:bCs/>
          <w:sz w:val="32"/>
          <w:szCs w:val="32"/>
          <w:lang w:val="en-US" w:eastAsia="zh-CN"/>
        </w:rPr>
        <w:t>磋商</w:t>
      </w:r>
      <w:r>
        <w:rPr>
          <w:rFonts w:hint="eastAsia" w:ascii="楷体" w:hAnsi="楷体" w:eastAsia="楷体" w:cs="楷体"/>
          <w:bCs/>
          <w:sz w:val="32"/>
          <w:szCs w:val="32"/>
        </w:rPr>
        <w:t>报价开始时间：</w:t>
      </w:r>
      <w:r>
        <w:rPr>
          <w:bCs/>
          <w:sz w:val="32"/>
          <w:szCs w:val="32"/>
          <w:highlight w:val="none"/>
          <w:u w:val="single"/>
        </w:rPr>
        <w:t>202</w:t>
      </w:r>
      <w:r>
        <w:rPr>
          <w:rFonts w:hint="eastAsia"/>
          <w:bCs/>
          <w:sz w:val="32"/>
          <w:szCs w:val="32"/>
          <w:highlight w:val="none"/>
          <w:u w:val="single"/>
        </w:rPr>
        <w:t>4</w:t>
      </w:r>
      <w:r>
        <w:rPr>
          <w:bCs/>
          <w:sz w:val="32"/>
          <w:szCs w:val="32"/>
          <w:highlight w:val="none"/>
        </w:rPr>
        <w:t>年</w:t>
      </w:r>
      <w:r>
        <w:rPr>
          <w:rFonts w:hint="eastAsia"/>
          <w:bCs/>
          <w:sz w:val="32"/>
          <w:szCs w:val="32"/>
          <w:highlight w:val="none"/>
          <w:u w:val="single"/>
          <w:lang w:val="en-US" w:eastAsia="zh-CN"/>
        </w:rPr>
        <w:t>12</w:t>
      </w:r>
      <w:r>
        <w:rPr>
          <w:bCs/>
          <w:sz w:val="32"/>
          <w:szCs w:val="32"/>
          <w:highlight w:val="none"/>
        </w:rPr>
        <w:t>月</w:t>
      </w:r>
      <w:r>
        <w:rPr>
          <w:rFonts w:hint="eastAsia"/>
          <w:bCs/>
          <w:sz w:val="32"/>
          <w:szCs w:val="32"/>
          <w:highlight w:val="none"/>
          <w:u w:val="single"/>
        </w:rPr>
        <w:t xml:space="preserve"> </w:t>
      </w:r>
      <w:r>
        <w:rPr>
          <w:rFonts w:hint="eastAsia"/>
          <w:bCs/>
          <w:sz w:val="32"/>
          <w:szCs w:val="32"/>
          <w:highlight w:val="none"/>
          <w:u w:val="single"/>
          <w:lang w:val="en-US" w:eastAsia="zh-CN"/>
        </w:rPr>
        <w:t>13</w:t>
      </w:r>
      <w:r>
        <w:rPr>
          <w:rFonts w:hint="eastAsia"/>
          <w:bCs/>
          <w:sz w:val="32"/>
          <w:szCs w:val="32"/>
          <w:highlight w:val="none"/>
          <w:u w:val="single"/>
        </w:rPr>
        <w:t xml:space="preserve"> </w:t>
      </w:r>
      <w:r>
        <w:rPr>
          <w:bCs/>
          <w:sz w:val="32"/>
          <w:szCs w:val="32"/>
          <w:highlight w:val="none"/>
        </w:rPr>
        <w:t>日</w:t>
      </w:r>
      <w:r>
        <w:rPr>
          <w:rFonts w:hint="eastAsia"/>
          <w:bCs/>
          <w:sz w:val="32"/>
          <w:szCs w:val="32"/>
          <w:highlight w:val="none"/>
          <w:u w:val="single"/>
          <w:lang w:val="en-US" w:eastAsia="zh-CN"/>
        </w:rPr>
        <w:t>10</w:t>
      </w:r>
      <w:r>
        <w:rPr>
          <w:bCs/>
          <w:sz w:val="32"/>
          <w:szCs w:val="32"/>
          <w:highlight w:val="none"/>
        </w:rPr>
        <w:t>时</w:t>
      </w:r>
      <w:r>
        <w:rPr>
          <w:rFonts w:hint="eastAsia"/>
          <w:bCs/>
          <w:sz w:val="32"/>
          <w:szCs w:val="32"/>
          <w:highlight w:val="none"/>
          <w:u w:val="single"/>
        </w:rPr>
        <w:t>00</w:t>
      </w:r>
      <w:r>
        <w:rPr>
          <w:bCs/>
          <w:sz w:val="32"/>
          <w:szCs w:val="32"/>
          <w:highlight w:val="none"/>
        </w:rPr>
        <w:t>分。</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bCs/>
          <w:sz w:val="32"/>
          <w:szCs w:val="32"/>
        </w:rPr>
      </w:pPr>
      <w:r>
        <w:rPr>
          <w:rFonts w:hint="eastAsia" w:ascii="楷体" w:hAnsi="楷体" w:eastAsia="楷体" w:cs="楷体"/>
          <w:bCs/>
          <w:sz w:val="32"/>
          <w:szCs w:val="32"/>
          <w:highlight w:val="none"/>
        </w:rPr>
        <w:t>（二）</w:t>
      </w:r>
      <w:r>
        <w:rPr>
          <w:rFonts w:hint="eastAsia" w:ascii="楷体" w:hAnsi="楷体" w:eastAsia="楷体" w:cs="楷体"/>
          <w:bCs/>
          <w:sz w:val="32"/>
          <w:szCs w:val="32"/>
          <w:highlight w:val="none"/>
          <w:lang w:val="en-US" w:eastAsia="zh-CN"/>
        </w:rPr>
        <w:t>磋商</w:t>
      </w:r>
      <w:r>
        <w:rPr>
          <w:rFonts w:hint="eastAsia" w:ascii="楷体" w:hAnsi="楷体" w:eastAsia="楷体" w:cs="楷体"/>
          <w:bCs/>
          <w:sz w:val="32"/>
          <w:szCs w:val="32"/>
          <w:highlight w:val="none"/>
        </w:rPr>
        <w:t>报价截止时间：</w:t>
      </w:r>
      <w:r>
        <w:rPr>
          <w:bCs/>
          <w:sz w:val="32"/>
          <w:szCs w:val="32"/>
          <w:highlight w:val="none"/>
          <w:u w:val="single"/>
        </w:rPr>
        <w:t>202</w:t>
      </w:r>
      <w:r>
        <w:rPr>
          <w:rFonts w:hint="eastAsia"/>
          <w:bCs/>
          <w:sz w:val="32"/>
          <w:szCs w:val="32"/>
          <w:highlight w:val="none"/>
          <w:u w:val="single"/>
        </w:rPr>
        <w:t>4</w:t>
      </w:r>
      <w:r>
        <w:rPr>
          <w:bCs/>
          <w:sz w:val="32"/>
          <w:szCs w:val="32"/>
          <w:highlight w:val="none"/>
        </w:rPr>
        <w:t>年</w:t>
      </w:r>
      <w:r>
        <w:rPr>
          <w:rFonts w:hint="eastAsia"/>
          <w:bCs/>
          <w:sz w:val="32"/>
          <w:szCs w:val="32"/>
          <w:highlight w:val="none"/>
          <w:u w:val="single"/>
        </w:rPr>
        <w:t>1</w:t>
      </w:r>
      <w:r>
        <w:rPr>
          <w:rFonts w:hint="eastAsia"/>
          <w:bCs/>
          <w:sz w:val="32"/>
          <w:szCs w:val="32"/>
          <w:highlight w:val="none"/>
          <w:u w:val="single"/>
          <w:lang w:val="en-US" w:eastAsia="zh-CN"/>
        </w:rPr>
        <w:t>2</w:t>
      </w:r>
      <w:r>
        <w:rPr>
          <w:bCs/>
          <w:sz w:val="32"/>
          <w:szCs w:val="32"/>
          <w:highlight w:val="none"/>
        </w:rPr>
        <w:t>月</w:t>
      </w:r>
      <w:r>
        <w:rPr>
          <w:rFonts w:hint="eastAsia"/>
          <w:bCs/>
          <w:sz w:val="32"/>
          <w:szCs w:val="32"/>
          <w:highlight w:val="none"/>
          <w:u w:val="single"/>
        </w:rPr>
        <w:t xml:space="preserve"> </w:t>
      </w:r>
      <w:r>
        <w:rPr>
          <w:rFonts w:hint="eastAsia"/>
          <w:bCs/>
          <w:sz w:val="32"/>
          <w:szCs w:val="32"/>
          <w:highlight w:val="none"/>
          <w:u w:val="single"/>
          <w:lang w:val="en-US" w:eastAsia="zh-CN"/>
        </w:rPr>
        <w:t>13</w:t>
      </w:r>
      <w:r>
        <w:rPr>
          <w:rFonts w:hint="eastAsia"/>
          <w:bCs/>
          <w:sz w:val="32"/>
          <w:szCs w:val="32"/>
          <w:highlight w:val="none"/>
          <w:u w:val="single"/>
        </w:rPr>
        <w:t xml:space="preserve"> </w:t>
      </w:r>
      <w:r>
        <w:rPr>
          <w:bCs/>
          <w:sz w:val="32"/>
          <w:szCs w:val="32"/>
          <w:highlight w:val="none"/>
        </w:rPr>
        <w:t>日</w:t>
      </w:r>
      <w:r>
        <w:rPr>
          <w:rFonts w:hint="eastAsia"/>
          <w:bCs/>
          <w:sz w:val="32"/>
          <w:szCs w:val="32"/>
          <w:highlight w:val="none"/>
          <w:u w:val="single"/>
          <w:lang w:val="en-US" w:eastAsia="zh-CN"/>
        </w:rPr>
        <w:t>12</w:t>
      </w:r>
      <w:r>
        <w:rPr>
          <w:bCs/>
          <w:sz w:val="32"/>
          <w:szCs w:val="32"/>
          <w:highlight w:val="none"/>
        </w:rPr>
        <w:t>时</w:t>
      </w:r>
      <w:r>
        <w:rPr>
          <w:rFonts w:hint="eastAsia"/>
          <w:bCs/>
          <w:sz w:val="32"/>
          <w:szCs w:val="32"/>
          <w:highlight w:val="none"/>
          <w:u w:val="single"/>
        </w:rPr>
        <w:t>0</w:t>
      </w:r>
      <w:r>
        <w:rPr>
          <w:rFonts w:hint="eastAsia"/>
          <w:bCs/>
          <w:sz w:val="32"/>
          <w:szCs w:val="32"/>
          <w:highlight w:val="none"/>
          <w:u w:val="single"/>
          <w:lang w:val="en-US" w:eastAsia="zh-CN"/>
        </w:rPr>
        <w:t>0</w:t>
      </w:r>
      <w:r>
        <w:rPr>
          <w:bCs/>
          <w:sz w:val="32"/>
          <w:szCs w:val="32"/>
          <w:highlight w:val="none"/>
        </w:rPr>
        <w:t>分</w:t>
      </w:r>
      <w:r>
        <w:rPr>
          <w:bCs/>
          <w:sz w:val="32"/>
          <w:szCs w:val="32"/>
        </w:rPr>
        <w:t>。</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hint="eastAsia" w:ascii="仿宋" w:hAnsi="仿宋" w:eastAsia="仿宋" w:cs="仿宋"/>
          <w:bCs/>
          <w:sz w:val="32"/>
          <w:szCs w:val="32"/>
        </w:rPr>
      </w:pPr>
      <w:r>
        <w:rPr>
          <w:rFonts w:hint="eastAsia" w:ascii="楷体" w:hAnsi="楷体" w:eastAsia="楷体" w:cs="楷体"/>
          <w:bCs/>
          <w:sz w:val="32"/>
          <w:szCs w:val="32"/>
        </w:rPr>
        <w:t>（三）报价地点：</w:t>
      </w:r>
      <w:r>
        <w:rPr>
          <w:rFonts w:hint="eastAsia" w:ascii="仿宋" w:hAnsi="仿宋" w:eastAsia="仿宋" w:cs="仿宋"/>
          <w:bCs/>
          <w:sz w:val="32"/>
          <w:szCs w:val="32"/>
          <w:u w:val="single"/>
        </w:rPr>
        <w:t>海南省海口市龙华区正义路3号海南金城办公楼405室</w:t>
      </w:r>
      <w:r>
        <w:rPr>
          <w:rFonts w:hint="eastAsia" w:ascii="仿宋" w:hAnsi="仿宋" w:eastAsia="仿宋" w:cs="仿宋"/>
          <w:bCs/>
          <w:sz w:val="32"/>
          <w:szCs w:val="32"/>
        </w:rPr>
        <w:t>。</w:t>
      </w:r>
    </w:p>
    <w:p>
      <w:pPr>
        <w:pStyle w:val="12"/>
        <w:keepNext w:val="0"/>
        <w:pageBreakBefore w:val="0"/>
        <w:widowControl w:val="0"/>
        <w:kinsoku/>
        <w:wordWrap/>
        <w:overflowPunct/>
        <w:topLinePunct w:val="0"/>
        <w:autoSpaceDE/>
        <w:autoSpaceDN/>
        <w:bidi w:val="0"/>
        <w:spacing w:line="600" w:lineRule="exact"/>
        <w:ind w:firstLine="560"/>
        <w:textAlignment w:val="auto"/>
        <w:rPr>
          <w:rFonts w:hint="eastAsia" w:ascii="仿宋" w:hAnsi="仿宋" w:eastAsia="仿宋" w:cs="仿宋"/>
          <w:bCs/>
          <w:sz w:val="32"/>
          <w:szCs w:val="32"/>
        </w:rPr>
      </w:pPr>
      <w:r>
        <w:rPr>
          <w:rFonts w:hint="eastAsia" w:ascii="楷体" w:hAnsi="楷体" w:eastAsia="楷体" w:cs="楷体"/>
          <w:bCs/>
          <w:sz w:val="32"/>
          <w:szCs w:val="32"/>
        </w:rPr>
        <w:t>（四）报价方式：</w:t>
      </w:r>
      <w:r>
        <w:rPr>
          <w:rFonts w:hint="eastAsia" w:ascii="仿宋" w:hAnsi="仿宋" w:eastAsia="仿宋" w:cs="仿宋"/>
          <w:bCs/>
          <w:sz w:val="32"/>
          <w:szCs w:val="32"/>
        </w:rPr>
        <w:t>由报价</w:t>
      </w:r>
      <w:r>
        <w:rPr>
          <w:rFonts w:hint="eastAsia" w:ascii="仿宋" w:hAnsi="仿宋" w:eastAsia="仿宋" w:cs="仿宋"/>
          <w:bCs/>
          <w:sz w:val="32"/>
          <w:szCs w:val="32"/>
          <w:lang w:eastAsia="zh-CN"/>
        </w:rPr>
        <w:t>研发承接单位</w:t>
      </w:r>
      <w:r>
        <w:rPr>
          <w:rFonts w:hint="eastAsia" w:ascii="仿宋" w:hAnsi="仿宋" w:eastAsia="仿宋" w:cs="仿宋"/>
          <w:bCs/>
          <w:sz w:val="32"/>
          <w:szCs w:val="32"/>
        </w:rPr>
        <w:t>法定代表人或授权代表现场提交报价文件，授权代表要带上</w:t>
      </w:r>
      <w:r>
        <w:rPr>
          <w:rFonts w:hint="eastAsia" w:ascii="仿宋" w:hAnsi="仿宋" w:eastAsia="仿宋" w:cs="仿宋"/>
          <w:bCs/>
          <w:sz w:val="32"/>
          <w:szCs w:val="32"/>
          <w:lang w:val="en-US" w:eastAsia="zh-CN"/>
        </w:rPr>
        <w:t>授权</w:t>
      </w:r>
      <w:r>
        <w:rPr>
          <w:rFonts w:hint="eastAsia" w:ascii="仿宋" w:hAnsi="仿宋" w:eastAsia="仿宋" w:cs="仿宋"/>
          <w:bCs/>
          <w:sz w:val="32"/>
          <w:szCs w:val="32"/>
        </w:rPr>
        <w:t>证明文件</w:t>
      </w:r>
      <w:r>
        <w:rPr>
          <w:rFonts w:hint="eastAsia" w:ascii="仿宋" w:hAnsi="仿宋" w:eastAsia="仿宋" w:cs="仿宋"/>
          <w:bCs/>
          <w:sz w:val="32"/>
          <w:szCs w:val="32"/>
          <w:lang w:val="en-US" w:eastAsia="zh-CN"/>
        </w:rPr>
        <w:t>原件</w:t>
      </w:r>
      <w:r>
        <w:rPr>
          <w:rFonts w:hint="eastAsia" w:ascii="仿宋" w:hAnsi="仿宋" w:eastAsia="仿宋" w:cs="仿宋"/>
          <w:bCs/>
          <w:sz w:val="32"/>
          <w:szCs w:val="32"/>
        </w:rPr>
        <w:t>，不接受邮寄等其他方式。</w:t>
      </w:r>
    </w:p>
    <w:p>
      <w:pPr>
        <w:keepNext w:val="0"/>
        <w:pageBreakBefore w:val="0"/>
        <w:widowControl w:val="0"/>
        <w:numPr>
          <w:ilvl w:val="255"/>
          <w:numId w:val="0"/>
        </w:numPr>
        <w:kinsoku/>
        <w:wordWrap/>
        <w:overflowPunct/>
        <w:topLinePunct w:val="0"/>
        <w:autoSpaceDE/>
        <w:autoSpaceDN/>
        <w:bidi w:val="0"/>
        <w:spacing w:line="600" w:lineRule="exact"/>
        <w:ind w:firstLine="640" w:firstLineChars="200"/>
        <w:textAlignment w:val="auto"/>
        <w:rPr>
          <w:rFonts w:eastAsia="黑体"/>
          <w:bCs/>
          <w:sz w:val="32"/>
          <w:szCs w:val="32"/>
        </w:rPr>
      </w:pPr>
      <w:r>
        <w:rPr>
          <w:rFonts w:hint="eastAsia" w:eastAsia="黑体"/>
          <w:bCs/>
          <w:sz w:val="32"/>
          <w:szCs w:val="32"/>
          <w:lang w:val="en-US" w:eastAsia="zh-CN"/>
        </w:rPr>
        <w:t>七</w:t>
      </w:r>
      <w:r>
        <w:rPr>
          <w:rFonts w:hint="eastAsia" w:eastAsia="黑体"/>
          <w:bCs/>
          <w:sz w:val="32"/>
          <w:szCs w:val="32"/>
        </w:rPr>
        <w:t>、演示</w:t>
      </w:r>
    </w:p>
    <w:p>
      <w:pPr>
        <w:keepNext w:val="0"/>
        <w:pageBreakBefore w:val="0"/>
        <w:widowControl w:val="0"/>
        <w:numPr>
          <w:ilvl w:val="0"/>
          <w:numId w:val="0"/>
        </w:numPr>
        <w:tabs>
          <w:tab w:val="left" w:pos="0"/>
        </w:tabs>
        <w:kinsoku/>
        <w:wordWrap/>
        <w:overflowPunct/>
        <w:topLinePunct w:val="0"/>
        <w:autoSpaceDE/>
        <w:autoSpaceDN/>
        <w:bidi w:val="0"/>
        <w:spacing w:line="600" w:lineRule="exact"/>
        <w:ind w:firstLine="640" w:firstLineChars="200"/>
        <w:textAlignment w:val="auto"/>
        <w:rPr>
          <w:bCs/>
          <w:sz w:val="32"/>
          <w:szCs w:val="32"/>
          <w:highlight w:val="none"/>
        </w:rPr>
      </w:pPr>
      <w:r>
        <w:rPr>
          <w:rFonts w:hint="eastAsia" w:ascii="仿宋" w:hAnsi="仿宋" w:eastAsia="仿宋" w:cs="仿宋"/>
          <w:bCs/>
          <w:sz w:val="32"/>
          <w:szCs w:val="32"/>
          <w:highlight w:val="none"/>
        </w:rPr>
        <w:t>本项目为</w:t>
      </w:r>
      <w:r>
        <w:rPr>
          <w:rFonts w:hint="eastAsia" w:ascii="仿宋" w:hAnsi="仿宋" w:eastAsia="仿宋" w:cs="仿宋"/>
          <w:bCs/>
          <w:sz w:val="32"/>
          <w:szCs w:val="32"/>
          <w:highlight w:val="none"/>
          <w:lang w:val="en-US" w:eastAsia="zh-CN"/>
        </w:rPr>
        <w:t>委托研发</w:t>
      </w:r>
      <w:r>
        <w:rPr>
          <w:rFonts w:hint="eastAsia" w:ascii="仿宋" w:hAnsi="仿宋" w:eastAsia="仿宋" w:cs="仿宋"/>
          <w:bCs/>
          <w:sz w:val="32"/>
          <w:szCs w:val="32"/>
          <w:highlight w:val="none"/>
        </w:rPr>
        <w:t>项目，无演示要求。</w:t>
      </w:r>
    </w:p>
    <w:p>
      <w:pPr>
        <w:keepNext w:val="0"/>
        <w:pageBreakBefore w:val="0"/>
        <w:widowControl w:val="0"/>
        <w:tabs>
          <w:tab w:val="left" w:pos="0"/>
          <w:tab w:val="left" w:pos="1122"/>
        </w:tabs>
        <w:kinsoku/>
        <w:wordWrap/>
        <w:overflowPunct/>
        <w:topLinePunct w:val="0"/>
        <w:autoSpaceDE/>
        <w:autoSpaceDN/>
        <w:bidi w:val="0"/>
        <w:spacing w:line="600" w:lineRule="exact"/>
        <w:ind w:firstLine="700" w:firstLineChars="219"/>
        <w:textAlignment w:val="auto"/>
        <w:rPr>
          <w:rFonts w:hint="eastAsia" w:ascii="黑体" w:hAnsi="黑体" w:eastAsia="黑体"/>
          <w:bCs/>
          <w:sz w:val="32"/>
          <w:szCs w:val="32"/>
          <w:highlight w:val="none"/>
        </w:rPr>
      </w:pPr>
      <w:r>
        <w:rPr>
          <w:rFonts w:hint="eastAsia" w:eastAsia="黑体"/>
          <w:bCs/>
          <w:sz w:val="32"/>
          <w:szCs w:val="32"/>
          <w:highlight w:val="none"/>
          <w:lang w:val="en-US" w:eastAsia="zh-CN"/>
        </w:rPr>
        <w:t>八</w:t>
      </w:r>
      <w:r>
        <w:rPr>
          <w:rFonts w:hint="eastAsia" w:ascii="黑体" w:hAnsi="黑体" w:eastAsia="黑体"/>
          <w:bCs/>
          <w:sz w:val="32"/>
          <w:szCs w:val="32"/>
          <w:highlight w:val="none"/>
        </w:rPr>
        <w:t>、</w:t>
      </w:r>
      <w:r>
        <w:rPr>
          <w:rFonts w:ascii="黑体" w:hAnsi="黑体" w:eastAsia="黑体"/>
          <w:bCs/>
          <w:sz w:val="32"/>
          <w:szCs w:val="32"/>
          <w:highlight w:val="none"/>
        </w:rPr>
        <w:t>本项目相关信息在</w:t>
      </w:r>
      <w:r>
        <w:rPr>
          <w:rFonts w:hint="eastAsia" w:ascii="黑体" w:hAnsi="黑体" w:eastAsia="黑体"/>
          <w:bCs/>
          <w:sz w:val="32"/>
          <w:szCs w:val="32"/>
          <w:highlight w:val="none"/>
          <w:lang w:val="en-US" w:eastAsia="zh-CN"/>
        </w:rPr>
        <w:t>海南金城官方网站、海南金城微信公众号、海南产交所信息公布平台等媒介</w:t>
      </w:r>
      <w:r>
        <w:rPr>
          <w:rFonts w:hint="eastAsia" w:ascii="黑体" w:hAnsi="黑体" w:eastAsia="黑体"/>
          <w:bCs/>
          <w:sz w:val="32"/>
          <w:szCs w:val="32"/>
          <w:highlight w:val="none"/>
        </w:rPr>
        <w:t>发布</w:t>
      </w:r>
      <w:r>
        <w:rPr>
          <w:rFonts w:ascii="黑体" w:hAnsi="黑体" w:eastAsia="黑体"/>
          <w:bCs/>
          <w:sz w:val="32"/>
          <w:szCs w:val="32"/>
          <w:highlight w:val="none"/>
        </w:rPr>
        <w:t>。</w:t>
      </w:r>
    </w:p>
    <w:p>
      <w:pPr>
        <w:keepNext w:val="0"/>
        <w:pageBreakBefore w:val="0"/>
        <w:widowControl w:val="0"/>
        <w:kinsoku/>
        <w:wordWrap/>
        <w:overflowPunct/>
        <w:topLinePunct w:val="0"/>
        <w:autoSpaceDE/>
        <w:autoSpaceDN/>
        <w:bidi w:val="0"/>
        <w:spacing w:line="600" w:lineRule="exact"/>
        <w:ind w:firstLine="560" w:firstLineChars="200"/>
        <w:textAlignment w:val="auto"/>
        <w:rPr>
          <w:bCs/>
          <w:sz w:val="28"/>
          <w:szCs w:val="28"/>
          <w:highlight w:val="none"/>
          <w:u w:val="single"/>
        </w:rPr>
      </w:pPr>
    </w:p>
    <w:p>
      <w:pPr>
        <w:pStyle w:val="2"/>
        <w:rPr>
          <w:bCs/>
          <w:sz w:val="28"/>
          <w:szCs w:val="28"/>
          <w:highlight w:val="none"/>
          <w:u w:val="single"/>
        </w:rPr>
      </w:pPr>
    </w:p>
    <w:p>
      <w:pPr>
        <w:rPr>
          <w:bCs/>
          <w:sz w:val="28"/>
          <w:szCs w:val="28"/>
          <w:highlight w:val="none"/>
          <w:u w:val="single"/>
        </w:rPr>
      </w:pPr>
    </w:p>
    <w:p>
      <w:pPr>
        <w:pStyle w:val="2"/>
      </w:pPr>
    </w:p>
    <w:p>
      <w:pPr>
        <w:pStyle w:val="2"/>
        <w:rPr>
          <w:bCs/>
          <w:sz w:val="28"/>
          <w:szCs w:val="28"/>
          <w:highlight w:val="none"/>
          <w:u w:val="single"/>
        </w:rPr>
      </w:pPr>
    </w:p>
    <w:p>
      <w:pPr>
        <w:rPr>
          <w:bCs/>
          <w:sz w:val="28"/>
          <w:szCs w:val="28"/>
          <w:highlight w:val="none"/>
          <w:u w:val="single"/>
        </w:rPr>
      </w:pPr>
    </w:p>
    <w:p>
      <w:pPr>
        <w:pStyle w:val="2"/>
        <w:rPr>
          <w:bCs/>
          <w:sz w:val="28"/>
          <w:szCs w:val="28"/>
          <w:highlight w:val="none"/>
          <w:u w:val="single"/>
        </w:rPr>
      </w:pPr>
    </w:p>
    <w:p>
      <w:pPr>
        <w:rPr>
          <w:bCs/>
          <w:sz w:val="28"/>
          <w:szCs w:val="28"/>
          <w:highlight w:val="none"/>
          <w:u w:val="single"/>
        </w:rPr>
      </w:pPr>
    </w:p>
    <w:p>
      <w:pPr>
        <w:pStyle w:val="2"/>
        <w:rPr>
          <w:bCs/>
          <w:sz w:val="28"/>
          <w:szCs w:val="28"/>
          <w:highlight w:val="none"/>
          <w:u w:val="single"/>
        </w:rPr>
      </w:pPr>
    </w:p>
    <w:p>
      <w:pPr>
        <w:rPr>
          <w:bCs/>
          <w:sz w:val="28"/>
          <w:szCs w:val="28"/>
          <w:highlight w:val="none"/>
          <w:u w:val="single"/>
        </w:rPr>
      </w:pPr>
    </w:p>
    <w:p>
      <w:pPr>
        <w:pStyle w:val="2"/>
        <w:rPr>
          <w:bCs/>
          <w:sz w:val="28"/>
          <w:szCs w:val="28"/>
          <w:highlight w:val="none"/>
          <w:u w:val="single"/>
        </w:rPr>
      </w:pPr>
    </w:p>
    <w:p>
      <w:pPr>
        <w:rPr>
          <w:bCs/>
          <w:sz w:val="28"/>
          <w:szCs w:val="28"/>
          <w:highlight w:val="none"/>
          <w:u w:val="single"/>
        </w:rPr>
      </w:pPr>
    </w:p>
    <w:p>
      <w:pPr>
        <w:pStyle w:val="2"/>
        <w:rPr>
          <w:bCs/>
          <w:sz w:val="28"/>
          <w:szCs w:val="28"/>
          <w:highlight w:val="none"/>
          <w:u w:val="single"/>
        </w:rPr>
      </w:pPr>
    </w:p>
    <w:p/>
    <w:p>
      <w:pPr>
        <w:rPr>
          <w:bCs/>
          <w:sz w:val="28"/>
          <w:szCs w:val="28"/>
          <w:highlight w:val="none"/>
          <w:u w:val="single"/>
        </w:rPr>
      </w:pPr>
    </w:p>
    <w:p>
      <w:pPr>
        <w:pStyle w:val="2"/>
        <w:rPr>
          <w:bCs/>
          <w:sz w:val="28"/>
          <w:szCs w:val="28"/>
          <w:highlight w:val="none"/>
          <w:u w:val="single"/>
        </w:rPr>
      </w:pPr>
    </w:p>
    <w:p>
      <w:pPr>
        <w:rPr>
          <w:bCs/>
          <w:sz w:val="28"/>
          <w:szCs w:val="28"/>
          <w:highlight w:val="none"/>
          <w:u w:val="single"/>
        </w:rPr>
      </w:pPr>
    </w:p>
    <w:p>
      <w:pPr>
        <w:pStyle w:val="2"/>
        <w:rPr>
          <w:rFonts w:hint="eastAsia" w:ascii="小标宋" w:hAnsi="小标宋" w:eastAsia="小标宋" w:cs="小标宋"/>
          <w:b w:val="0"/>
          <w:bCs/>
          <w:sz w:val="21"/>
          <w:szCs w:val="21"/>
          <w:highlight w:val="none"/>
          <w:u w:val="none"/>
          <w:lang w:val="en-US" w:eastAsia="zh-CN"/>
        </w:rPr>
      </w:pPr>
      <w:r>
        <w:rPr>
          <w:rFonts w:hint="eastAsia" w:ascii="小标宋" w:hAnsi="小标宋" w:eastAsia="小标宋" w:cs="小标宋"/>
          <w:b w:val="0"/>
          <w:bCs/>
          <w:sz w:val="21"/>
          <w:szCs w:val="21"/>
          <w:highlight w:val="none"/>
          <w:u w:val="none"/>
          <w:lang w:val="en-US" w:eastAsia="zh-CN"/>
        </w:rPr>
        <w:t>附件1-1：</w:t>
      </w:r>
    </w:p>
    <w:p>
      <w:pPr>
        <w:keepNext w:val="0"/>
        <w:keepLines w:val="0"/>
        <w:pageBreakBefore w:val="0"/>
        <w:kinsoku/>
        <w:wordWrap/>
        <w:overflowPunct/>
        <w:topLinePunct w:val="0"/>
        <w:autoSpaceDE/>
        <w:autoSpaceDN/>
        <w:bidi w:val="0"/>
        <w:adjustRightInd/>
        <w:snapToGrid/>
        <w:spacing w:line="580" w:lineRule="exact"/>
        <w:jc w:val="center"/>
        <w:rPr>
          <w:rFonts w:hint="eastAsia" w:ascii="小标宋" w:hAnsi="小标宋" w:eastAsia="小标宋" w:cs="小标宋"/>
          <w:sz w:val="44"/>
          <w:szCs w:val="44"/>
          <w:highlight w:val="none"/>
          <w:lang w:val="en-US" w:eastAsia="zh-CN"/>
        </w:rPr>
      </w:pPr>
      <w:r>
        <w:rPr>
          <w:rFonts w:hint="eastAsia" w:ascii="小标宋" w:hAnsi="小标宋" w:eastAsia="小标宋" w:cs="小标宋"/>
          <w:sz w:val="44"/>
          <w:szCs w:val="44"/>
          <w:highlight w:val="none"/>
          <w:lang w:val="en-US" w:eastAsia="zh-CN"/>
        </w:rPr>
        <w:t>研发需求</w:t>
      </w:r>
    </w:p>
    <w:p>
      <w:pPr>
        <w:keepNext w:val="0"/>
        <w:keepLines w:val="0"/>
        <w:pageBreakBefore w:val="0"/>
        <w:kinsoku/>
        <w:wordWrap/>
        <w:overflowPunct/>
        <w:topLinePunct w:val="0"/>
        <w:autoSpaceDE/>
        <w:autoSpaceDN/>
        <w:bidi w:val="0"/>
        <w:adjustRightInd/>
        <w:snapToGrid/>
        <w:spacing w:line="580" w:lineRule="exact"/>
        <w:ind w:firstLine="142" w:firstLineChars="47"/>
        <w:outlineLvl w:val="0"/>
        <w:rPr>
          <w:rFonts w:hint="default" w:hAnsi="宋体" w:eastAsia="宋体"/>
          <w:b/>
          <w:bCs/>
          <w:sz w:val="30"/>
          <w:szCs w:val="30"/>
          <w:highlight w:val="none"/>
          <w:shd w:val="clear" w:color="auto" w:fill="FFFFFF"/>
          <w:lang w:val="en-US" w:eastAsia="zh-CN"/>
        </w:rPr>
      </w:pPr>
      <w:r>
        <w:rPr>
          <w:rFonts w:hint="eastAsia" w:hAnsi="宋体"/>
          <w:b/>
          <w:bCs/>
          <w:sz w:val="30"/>
          <w:szCs w:val="30"/>
          <w:highlight w:val="none"/>
          <w:shd w:val="clear" w:color="auto" w:fill="FFFFFF"/>
          <w:lang w:val="en-US" w:eastAsia="zh-CN"/>
        </w:rPr>
        <w:t>一</w:t>
      </w:r>
      <w:r>
        <w:rPr>
          <w:rFonts w:hint="eastAsia" w:hAnsi="宋体"/>
          <w:b/>
          <w:bCs/>
          <w:sz w:val="30"/>
          <w:szCs w:val="30"/>
          <w:highlight w:val="none"/>
          <w:shd w:val="clear" w:color="auto" w:fill="FFFFFF"/>
        </w:rPr>
        <w:t>、</w:t>
      </w:r>
      <w:r>
        <w:rPr>
          <w:rFonts w:hint="eastAsia" w:hAnsi="宋体"/>
          <w:b/>
          <w:bCs/>
          <w:sz w:val="30"/>
          <w:szCs w:val="30"/>
          <w:highlight w:val="none"/>
          <w:shd w:val="clear" w:color="auto" w:fill="FFFFFF"/>
          <w:lang w:val="en-US" w:eastAsia="zh-CN"/>
        </w:rPr>
        <w:t>项目基本情况及要求</w:t>
      </w:r>
    </w:p>
    <w:p>
      <w:pPr>
        <w:keepNext w:val="0"/>
        <w:keepLines w:val="0"/>
        <w:pageBreakBefore w:val="0"/>
        <w:kinsoku/>
        <w:wordWrap/>
        <w:overflowPunct/>
        <w:topLinePunct w:val="0"/>
        <w:autoSpaceDE/>
        <w:autoSpaceDN/>
        <w:bidi w:val="0"/>
        <w:adjustRightInd/>
        <w:snapToGrid/>
        <w:spacing w:line="580" w:lineRule="exact"/>
        <w:ind w:firstLine="480"/>
        <w:rPr>
          <w:rFonts w:hint="eastAsia" w:ascii="楷体" w:hAnsi="楷体" w:eastAsia="楷体" w:cs="楷体"/>
          <w:i w:val="0"/>
          <w:iCs w:val="0"/>
          <w:caps w:val="0"/>
          <w:color w:val="383838"/>
          <w:spacing w:val="0"/>
          <w:sz w:val="32"/>
          <w:szCs w:val="32"/>
          <w:highlight w:val="none"/>
          <w:shd w:val="clear" w:fill="FFFFFF"/>
          <w:vertAlign w:val="baseline"/>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（一）</w:t>
      </w:r>
      <w:r>
        <w:rPr>
          <w:rFonts w:hint="eastAsia" w:ascii="楷体" w:hAnsi="楷体" w:eastAsia="楷体" w:cs="楷体"/>
          <w:i w:val="0"/>
          <w:iCs w:val="0"/>
          <w:caps w:val="0"/>
          <w:color w:val="383838"/>
          <w:spacing w:val="0"/>
          <w:sz w:val="32"/>
          <w:szCs w:val="32"/>
          <w:highlight w:val="none"/>
          <w:shd w:val="clear" w:fill="FFFFFF"/>
          <w:vertAlign w:val="baseline"/>
        </w:rPr>
        <w:t>项目基本情况</w:t>
      </w:r>
    </w:p>
    <w:p>
      <w:pPr>
        <w:keepNext w:val="0"/>
        <w:keepLines w:val="0"/>
        <w:pageBreakBefore w:val="0"/>
        <w:kinsoku/>
        <w:wordWrap/>
        <w:overflowPunct/>
        <w:topLinePunct w:val="0"/>
        <w:autoSpaceDE/>
        <w:autoSpaceDN/>
        <w:bidi w:val="0"/>
        <w:adjustRightInd/>
        <w:snapToGrid/>
        <w:spacing w:line="580" w:lineRule="exact"/>
        <w:ind w:firstLine="480"/>
        <w:rPr>
          <w:rFonts w:ascii="仿宋" w:hAnsi="仿宋" w:eastAsia="仿宋" w:cs="仿宋"/>
          <w:color w:val="auto"/>
          <w:highlight w:val="none"/>
        </w:rPr>
      </w:pPr>
      <w:r>
        <w:rPr>
          <w:rFonts w:hint="eastAsia" w:ascii="仿宋" w:hAnsi="仿宋" w:eastAsia="仿宋" w:cs="仿宋"/>
          <w:i w:val="0"/>
          <w:iCs w:val="0"/>
          <w:caps w:val="0"/>
          <w:color w:val="383838"/>
          <w:spacing w:val="0"/>
          <w:sz w:val="32"/>
          <w:szCs w:val="32"/>
          <w:highlight w:val="none"/>
          <w:shd w:val="clear" w:fill="FFFFFF"/>
          <w:vertAlign w:val="baseline"/>
        </w:rPr>
        <w:t>项目名称</w:t>
      </w:r>
      <w:r>
        <w:rPr>
          <w:rFonts w:hint="eastAsia" w:ascii="仿宋" w:hAnsi="仿宋" w:eastAsia="仿宋" w:cs="仿宋"/>
          <w:i w:val="0"/>
          <w:iCs w:val="0"/>
          <w:caps w:val="0"/>
          <w:color w:val="383838"/>
          <w:spacing w:val="0"/>
          <w:sz w:val="32"/>
          <w:szCs w:val="32"/>
          <w:highlight w:val="none"/>
          <w:shd w:val="clear" w:fill="FFFFFF"/>
          <w:vertAlign w:val="baseline"/>
          <w:lang w:eastAsia="zh-CN"/>
        </w:rPr>
        <w:t>：海南省金城安居投资集团有限公司数字化运营综合平台研究项目</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采购方式：竞争性磋商</w:t>
      </w:r>
    </w:p>
    <w:p>
      <w:pPr>
        <w:keepNext w:val="0"/>
        <w:keepLines w:val="0"/>
        <w:pageBreakBefore w:val="0"/>
        <w:kinsoku/>
        <w:wordWrap/>
        <w:overflowPunct/>
        <w:topLinePunct w:val="0"/>
        <w:autoSpaceDE/>
        <w:autoSpaceDN/>
        <w:bidi w:val="0"/>
        <w:adjustRightInd/>
        <w:snapToGrid/>
        <w:spacing w:line="580" w:lineRule="exact"/>
        <w:ind w:firstLine="480"/>
        <w:rPr>
          <w:rFonts w:hint="default"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研发方式：委托研发</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预算金额：</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预算160.176</w:t>
      </w:r>
      <w:r>
        <w:rPr>
          <w:rFonts w:hint="eastAsia" w:ascii="仿宋" w:hAnsi="仿宋" w:eastAsia="仿宋" w:cs="仿宋"/>
          <w:i w:val="0"/>
          <w:iCs w:val="0"/>
          <w:caps w:val="0"/>
          <w:color w:val="383838"/>
          <w:spacing w:val="0"/>
          <w:sz w:val="32"/>
          <w:szCs w:val="32"/>
          <w:highlight w:val="none"/>
          <w:shd w:val="clear" w:fill="FFFFFF"/>
          <w:vertAlign w:val="baseline"/>
        </w:rPr>
        <w:t>万元</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r>
        <w:rPr>
          <w:rFonts w:hint="eastAsia" w:ascii="仿宋" w:hAnsi="仿宋" w:eastAsia="仿宋" w:cs="仿宋"/>
          <w:i w:val="0"/>
          <w:iCs w:val="0"/>
          <w:caps w:val="0"/>
          <w:color w:val="383838"/>
          <w:spacing w:val="0"/>
          <w:sz w:val="32"/>
          <w:szCs w:val="32"/>
          <w:highlight w:val="none"/>
          <w:shd w:val="clear" w:fill="FFFFFF"/>
          <w:vertAlign w:val="baseline"/>
          <w:lang w:val="zh-CN"/>
        </w:rPr>
        <w:t>报价不得超过</w:t>
      </w:r>
      <w:r>
        <w:rPr>
          <w:rFonts w:hint="eastAsia" w:ascii="仿宋" w:hAnsi="仿宋" w:eastAsia="仿宋" w:cs="仿宋"/>
          <w:i w:val="0"/>
          <w:iCs w:val="0"/>
          <w:caps w:val="0"/>
          <w:color w:val="383838"/>
          <w:spacing w:val="0"/>
          <w:sz w:val="32"/>
          <w:szCs w:val="32"/>
          <w:highlight w:val="none"/>
          <w:shd w:val="clear" w:fill="FFFFFF"/>
          <w:vertAlign w:val="baseline"/>
        </w:rPr>
        <w:t>预算金额及最高限价</w:t>
      </w:r>
      <w:r>
        <w:rPr>
          <w:rFonts w:hint="eastAsia" w:ascii="仿宋" w:hAnsi="仿宋" w:eastAsia="仿宋" w:cs="仿宋"/>
          <w:i w:val="0"/>
          <w:iCs w:val="0"/>
          <w:caps w:val="0"/>
          <w:color w:val="383838"/>
          <w:spacing w:val="0"/>
          <w:sz w:val="32"/>
          <w:szCs w:val="32"/>
          <w:highlight w:val="none"/>
          <w:shd w:val="clear" w:fill="FFFFFF"/>
          <w:vertAlign w:val="baseline"/>
          <w:lang w:val="zh-CN"/>
        </w:rPr>
        <w:t>，否则视为无效</w:t>
      </w:r>
      <w:r>
        <w:rPr>
          <w:rFonts w:hint="eastAsia" w:ascii="仿宋" w:hAnsi="仿宋" w:eastAsia="仿宋" w:cs="仿宋"/>
          <w:i w:val="0"/>
          <w:iCs w:val="0"/>
          <w:caps w:val="0"/>
          <w:color w:val="383838"/>
          <w:spacing w:val="0"/>
          <w:sz w:val="32"/>
          <w:szCs w:val="32"/>
          <w:highlight w:val="none"/>
          <w:shd w:val="clear" w:fill="FFFFFF"/>
          <w:vertAlign w:val="baseline"/>
        </w:rPr>
        <w:t>报价</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最高限价：</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最高限价160.176</w:t>
      </w:r>
      <w:r>
        <w:rPr>
          <w:rFonts w:hint="eastAsia" w:ascii="仿宋" w:hAnsi="仿宋" w:eastAsia="仿宋" w:cs="仿宋"/>
          <w:i w:val="0"/>
          <w:iCs w:val="0"/>
          <w:caps w:val="0"/>
          <w:color w:val="383838"/>
          <w:spacing w:val="0"/>
          <w:sz w:val="32"/>
          <w:szCs w:val="32"/>
          <w:highlight w:val="none"/>
          <w:shd w:val="clear" w:fill="FFFFFF"/>
          <w:vertAlign w:val="baseline"/>
        </w:rPr>
        <w:t>万元</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lang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w:t>
      </w:r>
      <w:r>
        <w:rPr>
          <w:rFonts w:hint="eastAsia" w:ascii="仿宋" w:hAnsi="仿宋" w:eastAsia="仿宋" w:cs="仿宋"/>
          <w:i w:val="0"/>
          <w:iCs w:val="0"/>
          <w:caps w:val="0"/>
          <w:color w:val="383838"/>
          <w:spacing w:val="0"/>
          <w:sz w:val="32"/>
          <w:szCs w:val="32"/>
          <w:highlight w:val="none"/>
          <w:shd w:val="clear" w:fill="FFFFFF"/>
          <w:vertAlign w:val="baseline"/>
        </w:rPr>
        <w:t>需求：具体内容详见</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二、研发背景及需求中的2、</w:t>
      </w:r>
      <w:r>
        <w:rPr>
          <w:rFonts w:hint="eastAsia" w:ascii="仿宋" w:hAnsi="仿宋" w:eastAsia="仿宋" w:cs="仿宋"/>
          <w:i w:val="0"/>
          <w:iCs w:val="0"/>
          <w:caps w:val="0"/>
          <w:color w:val="383838"/>
          <w:spacing w:val="0"/>
          <w:sz w:val="32"/>
          <w:szCs w:val="32"/>
          <w:highlight w:val="none"/>
          <w:shd w:val="clear" w:fill="FFFFFF"/>
          <w:vertAlign w:val="baseline"/>
        </w:rPr>
        <w:t>平台</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相关功能需求；</w:t>
      </w:r>
      <w:r>
        <w:rPr>
          <w:rFonts w:hint="eastAsia" w:ascii="仿宋" w:hAnsi="仿宋" w:eastAsia="仿宋" w:cs="仿宋"/>
          <w:i w:val="0"/>
          <w:iCs w:val="0"/>
          <w:caps w:val="0"/>
          <w:color w:val="383838"/>
          <w:spacing w:val="0"/>
          <w:sz w:val="32"/>
          <w:szCs w:val="32"/>
          <w:highlight w:val="none"/>
          <w:shd w:val="clear" w:fill="FFFFFF"/>
          <w:vertAlign w:val="baseline"/>
        </w:rPr>
        <w:t>本项目（是/否）接受联合体：否</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p>
    <w:p>
      <w:pPr>
        <w:keepNext w:val="0"/>
        <w:keepLines w:val="0"/>
        <w:pageBreakBefore w:val="0"/>
        <w:kinsoku/>
        <w:wordWrap/>
        <w:overflowPunct/>
        <w:topLinePunct w:val="0"/>
        <w:autoSpaceDE/>
        <w:autoSpaceDN/>
        <w:bidi w:val="0"/>
        <w:adjustRightInd/>
        <w:snapToGrid/>
        <w:spacing w:line="580" w:lineRule="exact"/>
        <w:ind w:firstLine="480"/>
        <w:rPr>
          <w:rFonts w:hint="eastAsia" w:ascii="楷体" w:hAnsi="楷体" w:eastAsia="楷体" w:cs="楷体"/>
          <w:i w:val="0"/>
          <w:iCs w:val="0"/>
          <w:caps w:val="0"/>
          <w:color w:val="383838"/>
          <w:spacing w:val="0"/>
          <w:sz w:val="32"/>
          <w:szCs w:val="32"/>
          <w:highlight w:val="none"/>
          <w:shd w:val="clear" w:fill="FFFFFF"/>
          <w:vertAlign w:val="baseline"/>
          <w:lang w:val="en-US" w:eastAsia="zh-CN"/>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（二）申请人的资格要求：</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w:t>
      </w:r>
      <w:r>
        <w:rPr>
          <w:rFonts w:hint="eastAsia" w:ascii="仿宋" w:hAnsi="仿宋" w:eastAsia="仿宋" w:cs="仿宋"/>
          <w:i w:val="0"/>
          <w:iCs w:val="0"/>
          <w:caps w:val="0"/>
          <w:color w:val="383838"/>
          <w:spacing w:val="0"/>
          <w:sz w:val="32"/>
          <w:szCs w:val="32"/>
          <w:highlight w:val="none"/>
          <w:shd w:val="clear" w:fill="FFFFFF"/>
          <w:vertAlign w:val="baseline"/>
        </w:rPr>
        <w:t>满足《中华人民共和国政府采购法》第二十二条规定；</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w:t>
      </w:r>
      <w:r>
        <w:rPr>
          <w:rFonts w:hint="eastAsia" w:ascii="仿宋" w:hAnsi="仿宋" w:eastAsia="仿宋" w:cs="仿宋"/>
          <w:i w:val="0"/>
          <w:iCs w:val="0"/>
          <w:caps w:val="0"/>
          <w:color w:val="383838"/>
          <w:spacing w:val="0"/>
          <w:sz w:val="32"/>
          <w:szCs w:val="32"/>
          <w:highlight w:val="none"/>
          <w:shd w:val="clear" w:fill="FFFFFF"/>
          <w:vertAlign w:val="baseline"/>
        </w:rPr>
        <w:t>落实政府采购政策需满足的资格要求：无</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w:t>
      </w:r>
      <w:r>
        <w:rPr>
          <w:rFonts w:hint="eastAsia" w:ascii="仿宋" w:hAnsi="仿宋" w:eastAsia="仿宋" w:cs="仿宋"/>
          <w:i w:val="0"/>
          <w:iCs w:val="0"/>
          <w:caps w:val="0"/>
          <w:color w:val="383838"/>
          <w:spacing w:val="0"/>
          <w:sz w:val="32"/>
          <w:szCs w:val="32"/>
          <w:highlight w:val="none"/>
          <w:shd w:val="clear" w:fill="FFFFFF"/>
          <w:vertAlign w:val="baseline"/>
        </w:rPr>
        <w:t>本项目的资格要求：</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（1）在中华人民共和国境内注册、具有独立承担民事责任能力（提供企业有效的营业执照副本、组织机构代码证、税务登记证复印件加盖公章；如为 “三证合一”企业，提供有效的营业执照副本复印件加盖公章）；</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（2）具有良好的商业信誉和健全的财务会计制度（提供承诺函）；</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（3）具有履行合同所必需的设备和专业技术能力（提供承诺函）；</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（4）具有依法缴纳税收和社会保障资金的良好记录。（提供承诺函）；</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（5）参加本次</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磋商的单位</w:t>
      </w:r>
      <w:r>
        <w:rPr>
          <w:rFonts w:hint="eastAsia" w:ascii="仿宋" w:hAnsi="仿宋" w:eastAsia="仿宋" w:cs="仿宋"/>
          <w:i w:val="0"/>
          <w:iCs w:val="0"/>
          <w:caps w:val="0"/>
          <w:color w:val="383838"/>
          <w:spacing w:val="0"/>
          <w:sz w:val="32"/>
          <w:szCs w:val="32"/>
          <w:highlight w:val="none"/>
          <w:shd w:val="clear" w:fill="FFFFFF"/>
          <w:vertAlign w:val="baseline"/>
        </w:rPr>
        <w:t>近三年内（成立不足三年的从成立之日起算），在经营活动中没有重大违法记录（提供声明函原件）；</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（6）具备法律、行政法规规定的其他条件（提供资格承诺函）；</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i w:val="0"/>
          <w:iCs w:val="0"/>
          <w:caps w:val="0"/>
          <w:color w:val="383838"/>
          <w:spacing w:val="0"/>
          <w:sz w:val="32"/>
          <w:szCs w:val="32"/>
          <w:highlight w:val="none"/>
          <w:shd w:val="clear" w:fill="FFFFFF"/>
          <w:vertAlign w:val="baseline"/>
        </w:rPr>
      </w:pPr>
      <w:r>
        <w:rPr>
          <w:rFonts w:hint="eastAsia" w:ascii="仿宋" w:hAnsi="仿宋" w:eastAsia="仿宋" w:cs="仿宋"/>
          <w:i w:val="0"/>
          <w:iCs w:val="0"/>
          <w:caps w:val="0"/>
          <w:color w:val="383838"/>
          <w:spacing w:val="0"/>
          <w:sz w:val="32"/>
          <w:szCs w:val="32"/>
          <w:highlight w:val="none"/>
          <w:shd w:val="clear" w:fill="FFFFFF"/>
          <w:vertAlign w:val="baseline"/>
        </w:rPr>
        <w:t>（7）政府采购活动前三年内无环保类行政处罚记录（提供声明函）；</w:t>
      </w:r>
    </w:p>
    <w:p>
      <w:pPr>
        <w:keepNext w:val="0"/>
        <w:keepLines w:val="0"/>
        <w:pageBreakBefore w:val="0"/>
        <w:kinsoku/>
        <w:wordWrap/>
        <w:overflowPunct/>
        <w:topLinePunct w:val="0"/>
        <w:autoSpaceDE/>
        <w:autoSpaceDN/>
        <w:bidi w:val="0"/>
        <w:adjustRightInd/>
        <w:snapToGrid/>
        <w:spacing w:line="580" w:lineRule="exact"/>
        <w:ind w:firstLine="480"/>
        <w:rPr>
          <w:rFonts w:hint="eastAsia" w:ascii="仿宋" w:hAnsi="仿宋" w:eastAsia="仿宋" w:cs="仿宋"/>
          <w:sz w:val="32"/>
          <w:szCs w:val="32"/>
          <w:highlight w:val="none"/>
        </w:rPr>
      </w:pPr>
      <w:r>
        <w:rPr>
          <w:rFonts w:hint="eastAsia" w:ascii="仿宋" w:hAnsi="仿宋" w:eastAsia="仿宋" w:cs="仿宋"/>
          <w:i w:val="0"/>
          <w:iCs w:val="0"/>
          <w:caps w:val="0"/>
          <w:color w:val="383838"/>
          <w:spacing w:val="0"/>
          <w:sz w:val="32"/>
          <w:szCs w:val="32"/>
          <w:highlight w:val="none"/>
          <w:shd w:val="clear" w:fill="FFFFFF"/>
          <w:vertAlign w:val="baseline"/>
        </w:rPr>
        <w:t>（8）遵守国家有关的法律、法规、规章和其他政策制度，</w:t>
      </w:r>
      <w:r>
        <w:rPr>
          <w:rFonts w:hint="eastAsia" w:ascii="仿宋" w:hAnsi="仿宋" w:eastAsia="仿宋" w:cs="仿宋"/>
          <w:i w:val="0"/>
          <w:iCs w:val="0"/>
          <w:caps w:val="0"/>
          <w:color w:val="383838"/>
          <w:spacing w:val="0"/>
          <w:sz w:val="32"/>
          <w:szCs w:val="32"/>
          <w:highlight w:val="none"/>
          <w:shd w:val="clear" w:fill="FFFFFF"/>
          <w:vertAlign w:val="baseline"/>
          <w:lang w:eastAsia="zh-CN"/>
        </w:rPr>
        <w:t>研发承接单位</w:t>
      </w:r>
      <w:r>
        <w:rPr>
          <w:rFonts w:hint="eastAsia" w:ascii="仿宋" w:hAnsi="仿宋" w:eastAsia="仿宋" w:cs="仿宋"/>
          <w:i w:val="0"/>
          <w:iCs w:val="0"/>
          <w:caps w:val="0"/>
          <w:color w:val="383838"/>
          <w:spacing w:val="0"/>
          <w:sz w:val="32"/>
          <w:szCs w:val="32"/>
          <w:highlight w:val="none"/>
          <w:shd w:val="clear" w:fill="FFFFFF"/>
          <w:vertAlign w:val="baseline"/>
        </w:rPr>
        <w:t>信用信息查询的查询渠道及截止时点、信用信息查询记录和证据留存的具体方式、信用信息的使用规则：①</w:t>
      </w:r>
      <w:r>
        <w:rPr>
          <w:rFonts w:hint="eastAsia" w:ascii="仿宋" w:hAnsi="仿宋" w:eastAsia="仿宋" w:cs="仿宋"/>
          <w:i w:val="0"/>
          <w:iCs w:val="0"/>
          <w:caps w:val="0"/>
          <w:color w:val="383838"/>
          <w:spacing w:val="0"/>
          <w:sz w:val="32"/>
          <w:szCs w:val="32"/>
          <w:highlight w:val="none"/>
          <w:shd w:val="clear" w:fill="FFFFFF"/>
          <w:vertAlign w:val="baseline"/>
          <w:lang w:eastAsia="zh-CN"/>
        </w:rPr>
        <w:t>研发承接单位</w:t>
      </w:r>
      <w:r>
        <w:rPr>
          <w:rFonts w:hint="eastAsia" w:ascii="仿宋" w:hAnsi="仿宋" w:eastAsia="仿宋" w:cs="仿宋"/>
          <w:i w:val="0"/>
          <w:iCs w:val="0"/>
          <w:caps w:val="0"/>
          <w:color w:val="383838"/>
          <w:spacing w:val="0"/>
          <w:sz w:val="32"/>
          <w:szCs w:val="32"/>
          <w:highlight w:val="none"/>
          <w:shd w:val="clear" w:fill="FFFFFF"/>
          <w:vertAlign w:val="baseline"/>
        </w:rPr>
        <w:t>不良信用记录查询网址：信用中国网（http://www.creditchina.gov.cn）、中国政府采购网（http://www.ccgp.gov.cn）。②信用信息查询截止时间为：同项目公示时间。③对列入失信被执行人、重大税收违法失信主体、政府采购严重违法失信行为记录名单的</w:t>
      </w:r>
      <w:r>
        <w:rPr>
          <w:rFonts w:hint="eastAsia" w:ascii="仿宋" w:hAnsi="仿宋" w:eastAsia="仿宋" w:cs="仿宋"/>
          <w:i w:val="0"/>
          <w:iCs w:val="0"/>
          <w:caps w:val="0"/>
          <w:color w:val="383838"/>
          <w:spacing w:val="0"/>
          <w:sz w:val="32"/>
          <w:szCs w:val="32"/>
          <w:highlight w:val="none"/>
          <w:shd w:val="clear" w:fill="FFFFFF"/>
          <w:vertAlign w:val="baseline"/>
          <w:lang w:eastAsia="zh-CN"/>
        </w:rPr>
        <w:t>研发承接单位</w:t>
      </w:r>
      <w:r>
        <w:rPr>
          <w:rFonts w:hint="eastAsia" w:ascii="仿宋" w:hAnsi="仿宋" w:eastAsia="仿宋" w:cs="仿宋"/>
          <w:i w:val="0"/>
          <w:iCs w:val="0"/>
          <w:caps w:val="0"/>
          <w:color w:val="383838"/>
          <w:spacing w:val="0"/>
          <w:sz w:val="32"/>
          <w:szCs w:val="32"/>
          <w:highlight w:val="none"/>
          <w:shd w:val="clear" w:fill="FFFFFF"/>
          <w:vertAlign w:val="baseline"/>
        </w:rPr>
        <w:t>将被拒绝投标。</w:t>
      </w:r>
    </w:p>
    <w:p>
      <w:pPr>
        <w:keepNext w:val="0"/>
        <w:keepLines w:val="0"/>
        <w:pageBreakBefore w:val="0"/>
        <w:kinsoku/>
        <w:wordWrap/>
        <w:overflowPunct/>
        <w:topLinePunct w:val="0"/>
        <w:autoSpaceDE/>
        <w:autoSpaceDN/>
        <w:bidi w:val="0"/>
        <w:adjustRightInd/>
        <w:snapToGrid/>
        <w:spacing w:line="580" w:lineRule="exact"/>
        <w:ind w:firstLine="790" w:firstLineChars="247"/>
        <w:outlineLvl w:val="0"/>
        <w:rPr>
          <w:rFonts w:hint="eastAsia" w:ascii="黑体" w:hAnsi="黑体" w:eastAsia="黑体" w:cs="黑体"/>
          <w:b w:val="0"/>
          <w:bCs w:val="0"/>
          <w:sz w:val="32"/>
          <w:szCs w:val="32"/>
          <w:highlight w:val="none"/>
          <w:shd w:val="clear" w:color="auto" w:fill="FFFFFF"/>
          <w:lang w:val="en-US" w:eastAsia="zh-CN"/>
        </w:rPr>
      </w:pPr>
      <w:r>
        <w:rPr>
          <w:rFonts w:hint="eastAsia" w:ascii="黑体" w:hAnsi="黑体" w:eastAsia="黑体" w:cs="黑体"/>
          <w:b w:val="0"/>
          <w:bCs w:val="0"/>
          <w:sz w:val="32"/>
          <w:szCs w:val="32"/>
          <w:highlight w:val="none"/>
          <w:shd w:val="clear" w:color="auto" w:fill="FFFFFF"/>
          <w:lang w:val="en-US" w:eastAsia="zh-CN"/>
        </w:rPr>
        <w:t>二、研发背景及需求</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rPr>
          <w:rFonts w:hint="eastAsia" w:ascii="楷体" w:hAnsi="楷体" w:eastAsia="楷体" w:cs="楷体"/>
          <w:i w:val="0"/>
          <w:iCs w:val="0"/>
          <w:caps w:val="0"/>
          <w:color w:val="383838"/>
          <w:spacing w:val="0"/>
          <w:sz w:val="32"/>
          <w:szCs w:val="32"/>
          <w:highlight w:val="none"/>
          <w:shd w:val="clear" w:fill="FFFFFF"/>
          <w:vertAlign w:val="baseline"/>
          <w:lang w:val="en-US" w:eastAsia="zh-CN"/>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（一）研发背景及内容：</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sz w:val="32"/>
          <w:szCs w:val="32"/>
          <w:highlight w:val="none"/>
          <w:lang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为深入贯彻《海南自由贸易港建设总体方案》《海南省创新驱动发展战略实施方案》精神和落实《关于联合印发〈关于支持企业建立研发机构促进企业加大全社会研发投入若干措施〉的通知》（琼科〔2024〕44号）、《关于印发〈海南省促进全社会研发投入若干措施〉》（琼科函〔2022〕22号）文件精神，促进集团数字化、网络化、智能化发展，结合集团实际，开展海南省金城安居投资集团有限公司数字化运营综合平台研究项目</w:t>
      </w:r>
      <w:r>
        <w:rPr>
          <w:rFonts w:hint="eastAsia" w:ascii="仿宋" w:hAnsi="仿宋" w:eastAsia="仿宋" w:cs="仿宋"/>
          <w:sz w:val="32"/>
          <w:szCs w:val="32"/>
          <w:highlight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根据集团战略管控分层管理的模式及业务分析，结合信息化需求及集团现状，规划</w:t>
      </w:r>
      <w:r>
        <w:rPr>
          <w:rFonts w:hint="eastAsia" w:ascii="仿宋" w:hAnsi="仿宋" w:eastAsia="仿宋" w:cs="仿宋"/>
          <w:i w:val="0"/>
          <w:iCs w:val="0"/>
          <w:caps w:val="0"/>
          <w:color w:val="383838"/>
          <w:spacing w:val="0"/>
          <w:sz w:val="32"/>
          <w:szCs w:val="32"/>
          <w:highlight w:val="none"/>
          <w:shd w:val="clear" w:fill="FFFFFF"/>
          <w:vertAlign w:val="baseline"/>
        </w:rPr>
        <w:t>金城安居集团数字化运营综合平台</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总体架构可以概括为“1个标准，2套体系，3个平台，4个层次”。</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个标准：统一标准是实现系统互通互联、共享信息、安全可靠运行的基本前提和根本保证。构建一个可扩展、可集成的基础协同架构，解决在集团现有网络环境下能集成所有业务的需求，通过各系统定义好的接口将应用程序的不同服务联系起来，使得集团现有或未来的信息系统应用能够以一种统一、通用的方式自由的进行信息交互和互通。</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套体系：系统建设运行后，所有子公司的业务数据都将在网络中进行传输，整个集团的大部分核心业务也将以信息流的形式进行运转。为保证信息系统持续、稳定的运行，将规划实施安全保障体系和运行维护体系2套体系来保障系统正常运行。</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个平台：在集团的信息化规划中设计硬件支撑平台、软件支撑平台、应用集成平台3个平台支持整个集团实现企业管理信息化。硬件支撑平台是进行整个信息化的基础建设，软件支撑平台是通过软件应用建立对信息系统的应用支撑，应用集成平台是集团信息化信息共享、互联互通的技术支撑。</w:t>
      </w:r>
    </w:p>
    <w:p>
      <w:pPr>
        <w:keepNext w:val="0"/>
        <w:keepLines w:val="0"/>
        <w:pageBreakBefore w:val="0"/>
        <w:numPr>
          <w:ilvl w:val="0"/>
          <w:numId w:val="0"/>
        </w:numPr>
        <w:kinsoku/>
        <w:wordWrap/>
        <w:overflowPunct/>
        <w:topLinePunct w:val="0"/>
        <w:autoSpaceDE/>
        <w:autoSpaceDN/>
        <w:bidi w:val="0"/>
        <w:adjustRightInd/>
        <w:snapToGrid/>
        <w:spacing w:line="580" w:lineRule="exact"/>
        <w:ind w:left="220" w:leftChars="0"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4个层次：按照集团整体信息化架构部署基础环境层、子公司运营管理层、集团管控层、集团决策呈现层4个层面的应用。</w:t>
      </w:r>
    </w:p>
    <w:p>
      <w:pPr>
        <w:keepNext w:val="0"/>
        <w:keepLines w:val="0"/>
        <w:pageBreakBefore w:val="0"/>
        <w:numPr>
          <w:ilvl w:val="0"/>
          <w:numId w:val="0"/>
        </w:numPr>
        <w:kinsoku/>
        <w:wordWrap/>
        <w:overflowPunct/>
        <w:topLinePunct w:val="0"/>
        <w:autoSpaceDE/>
        <w:autoSpaceDN/>
        <w:bidi w:val="0"/>
        <w:adjustRightInd/>
        <w:snapToGrid/>
        <w:spacing w:line="580" w:lineRule="exact"/>
        <w:ind w:firstLine="640" w:firstLineChars="200"/>
        <w:rPr>
          <w:rFonts w:hint="eastAsia" w:ascii="楷体" w:hAnsi="楷体" w:eastAsia="楷体" w:cs="楷体"/>
          <w:i w:val="0"/>
          <w:iCs w:val="0"/>
          <w:caps w:val="0"/>
          <w:color w:val="383838"/>
          <w:spacing w:val="0"/>
          <w:sz w:val="32"/>
          <w:szCs w:val="32"/>
          <w:highlight w:val="none"/>
          <w:shd w:val="clear" w:fill="FFFFFF"/>
          <w:vertAlign w:val="baseline"/>
          <w:lang w:val="en-US" w:eastAsia="zh-CN"/>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（二）</w:t>
      </w:r>
      <w:r>
        <w:rPr>
          <w:rFonts w:hint="eastAsia" w:ascii="楷体" w:hAnsi="楷体" w:eastAsia="楷体" w:cs="楷体"/>
          <w:i w:val="0"/>
          <w:iCs w:val="0"/>
          <w:caps w:val="0"/>
          <w:color w:val="383838"/>
          <w:spacing w:val="0"/>
          <w:sz w:val="32"/>
          <w:szCs w:val="32"/>
          <w:highlight w:val="none"/>
          <w:shd w:val="clear" w:fill="FFFFFF"/>
          <w:vertAlign w:val="baseline"/>
        </w:rPr>
        <w:t>平台</w:t>
      </w: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相关功能需求：</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default" w:ascii="仿宋" w:hAnsi="仿宋" w:eastAsia="仿宋" w:cs="仿宋"/>
          <w:i w:val="0"/>
          <w:iCs w:val="0"/>
          <w:caps w:val="0"/>
          <w:color w:val="383838"/>
          <w:spacing w:val="0"/>
          <w:kern w:val="0"/>
          <w:sz w:val="32"/>
          <w:szCs w:val="32"/>
          <w:highlight w:val="none"/>
          <w:u w:val="none"/>
          <w:shd w:val="clear" w:fill="FFFFFF"/>
          <w:lang w:val="en-US" w:eastAsia="zh-CN" w:bidi="ar"/>
        </w:rPr>
      </w:pPr>
      <w:r>
        <w:rPr>
          <w:rFonts w:ascii="仿宋" w:hAnsi="仿宋" w:eastAsia="仿宋" w:cs="仿宋"/>
          <w:i w:val="0"/>
          <w:iCs w:val="0"/>
          <w:caps w:val="0"/>
          <w:color w:val="383838"/>
          <w:spacing w:val="0"/>
          <w:kern w:val="0"/>
          <w:sz w:val="32"/>
          <w:szCs w:val="32"/>
          <w:highlight w:val="none"/>
          <w:u w:val="none"/>
          <w:shd w:val="clear" w:fill="FFFFFF"/>
          <w:lang w:val="en-US" w:eastAsia="zh-CN" w:bidi="ar"/>
        </w:rPr>
        <w:t>整体建设</w:t>
      </w:r>
      <w:r>
        <w:rPr>
          <w:rFonts w:hint="default" w:ascii="仿宋" w:hAnsi="仿宋" w:eastAsia="仿宋" w:cs="仿宋"/>
          <w:i w:val="0"/>
          <w:iCs w:val="0"/>
          <w:caps w:val="0"/>
          <w:color w:val="383838"/>
          <w:spacing w:val="0"/>
          <w:kern w:val="0"/>
          <w:sz w:val="32"/>
          <w:szCs w:val="32"/>
          <w:highlight w:val="none"/>
          <w:u w:val="none"/>
          <w:shd w:val="clear" w:fill="FFFFFF"/>
          <w:lang w:val="en-US" w:eastAsia="zh-CN" w:bidi="ar"/>
        </w:rPr>
        <w:t>“数字化运营综合管理平台”、“数字化业务协同管理平台”和“数字化综合服务平台”，满足集团数字化运营管理、对接政府部门业务监管系统、高效服务企业和个人客户的需求。</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eastAsia" w:ascii="仿宋" w:hAnsi="仿宋" w:eastAsia="仿宋" w:cs="仿宋"/>
          <w:i w:val="0"/>
          <w:iCs w:val="0"/>
          <w:caps w:val="0"/>
          <w:color w:val="383838"/>
          <w:spacing w:val="0"/>
          <w:kern w:val="0"/>
          <w:sz w:val="32"/>
          <w:szCs w:val="32"/>
          <w:highlight w:val="none"/>
          <w:shd w:val="clear" w:fill="FFFFFF"/>
          <w:lang w:val="en-US" w:eastAsia="zh-CN" w:bidi="ar"/>
        </w:rPr>
      </w:pPr>
      <w:r>
        <w:rPr>
          <w:rFonts w:hint="eastAsia" w:ascii="仿宋" w:hAnsi="仿宋" w:eastAsia="仿宋" w:cs="仿宋"/>
          <w:i w:val="0"/>
          <w:iCs w:val="0"/>
          <w:caps w:val="0"/>
          <w:color w:val="383838"/>
          <w:spacing w:val="0"/>
          <w:kern w:val="0"/>
          <w:sz w:val="32"/>
          <w:szCs w:val="32"/>
          <w:highlight w:val="none"/>
          <w:u w:val="none"/>
          <w:shd w:val="clear" w:fill="FFFFFF"/>
          <w:lang w:val="en-US" w:eastAsia="zh-CN" w:bidi="ar"/>
        </w:rPr>
        <w:t>本次主要委托研发部分为：海南省金城安居投资集团有限公司数字化运营综合平台研究项目</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的</w:t>
      </w:r>
      <w:r>
        <w:rPr>
          <w:rFonts w:hint="eastAsia" w:ascii="仿宋" w:hAnsi="仿宋" w:eastAsia="仿宋" w:cs="仿宋"/>
          <w:i w:val="0"/>
          <w:iCs w:val="0"/>
          <w:caps w:val="0"/>
          <w:color w:val="383838"/>
          <w:spacing w:val="0"/>
          <w:kern w:val="0"/>
          <w:sz w:val="32"/>
          <w:szCs w:val="32"/>
          <w:highlight w:val="none"/>
          <w:u w:val="none"/>
          <w:shd w:val="clear" w:fill="FFFFFF"/>
          <w:lang w:val="en-US" w:eastAsia="zh-CN" w:bidi="ar"/>
        </w:rPr>
        <w:t>（1）</w:t>
      </w:r>
      <w:r>
        <w:rPr>
          <w:rFonts w:hint="default" w:ascii="仿宋" w:hAnsi="仿宋" w:eastAsia="仿宋" w:cs="仿宋"/>
          <w:i w:val="0"/>
          <w:iCs w:val="0"/>
          <w:caps w:val="0"/>
          <w:color w:val="383838"/>
          <w:spacing w:val="0"/>
          <w:kern w:val="0"/>
          <w:sz w:val="32"/>
          <w:szCs w:val="32"/>
          <w:highlight w:val="none"/>
          <w:shd w:val="clear" w:fill="FFFFFF"/>
          <w:lang w:val="en-US" w:eastAsia="zh-CN" w:bidi="ar"/>
        </w:rPr>
        <w:t>数字化资产管理平台</w:t>
      </w:r>
      <w:r>
        <w:rPr>
          <w:rFonts w:hint="eastAsia" w:ascii="仿宋" w:hAnsi="仿宋" w:eastAsia="仿宋" w:cs="仿宋"/>
          <w:i w:val="0"/>
          <w:iCs w:val="0"/>
          <w:caps w:val="0"/>
          <w:color w:val="383838"/>
          <w:spacing w:val="0"/>
          <w:kern w:val="0"/>
          <w:sz w:val="32"/>
          <w:szCs w:val="32"/>
          <w:highlight w:val="none"/>
          <w:shd w:val="clear" w:fill="FFFFFF"/>
          <w:lang w:val="en-US" w:eastAsia="zh-CN" w:bidi="ar"/>
        </w:rPr>
        <w:t>和</w:t>
      </w:r>
      <w:r>
        <w:rPr>
          <w:rFonts w:ascii="仿宋" w:hAnsi="仿宋" w:eastAsia="仿宋" w:cs="仿宋"/>
          <w:i w:val="0"/>
          <w:iCs w:val="0"/>
          <w:caps w:val="0"/>
          <w:color w:val="383838"/>
          <w:spacing w:val="0"/>
          <w:kern w:val="2"/>
          <w:sz w:val="32"/>
          <w:szCs w:val="32"/>
          <w:highlight w:val="none"/>
          <w:shd w:val="clear" w:fill="FFFFFF"/>
          <w:lang w:val="en-US" w:eastAsia="zh-CN" w:bidi="ar"/>
        </w:rPr>
        <w:t>（</w:t>
      </w:r>
      <w:r>
        <w:rPr>
          <w:rFonts w:hint="eastAsia" w:ascii="仿宋" w:hAnsi="仿宋" w:eastAsia="仿宋" w:cs="仿宋"/>
          <w:i w:val="0"/>
          <w:iCs w:val="0"/>
          <w:caps w:val="0"/>
          <w:color w:val="383838"/>
          <w:spacing w:val="0"/>
          <w:kern w:val="2"/>
          <w:sz w:val="32"/>
          <w:szCs w:val="32"/>
          <w:highlight w:val="none"/>
          <w:shd w:val="clear" w:fill="FFFFFF"/>
          <w:lang w:val="en-US" w:eastAsia="zh-CN" w:bidi="ar"/>
        </w:rPr>
        <w:t>2</w:t>
      </w:r>
      <w:r>
        <w:rPr>
          <w:rFonts w:ascii="仿宋" w:hAnsi="仿宋" w:eastAsia="仿宋" w:cs="仿宋"/>
          <w:i w:val="0"/>
          <w:iCs w:val="0"/>
          <w:caps w:val="0"/>
          <w:color w:val="383838"/>
          <w:spacing w:val="0"/>
          <w:kern w:val="2"/>
          <w:sz w:val="32"/>
          <w:szCs w:val="32"/>
          <w:highlight w:val="none"/>
          <w:shd w:val="clear" w:fill="FFFFFF"/>
          <w:lang w:val="en-US" w:eastAsia="zh-CN" w:bidi="ar"/>
        </w:rPr>
        <w:t>）</w:t>
      </w:r>
      <w:r>
        <w:rPr>
          <w:rFonts w:hint="default" w:ascii="仿宋" w:hAnsi="仿宋" w:eastAsia="仿宋" w:cs="仿宋"/>
          <w:i w:val="0"/>
          <w:iCs w:val="0"/>
          <w:caps w:val="0"/>
          <w:color w:val="383838"/>
          <w:spacing w:val="0"/>
          <w:kern w:val="0"/>
          <w:sz w:val="32"/>
          <w:szCs w:val="32"/>
          <w:highlight w:val="none"/>
          <w:shd w:val="clear" w:fill="FFFFFF"/>
          <w:lang w:val="en-US" w:eastAsia="zh-CN" w:bidi="ar"/>
        </w:rPr>
        <w:t>数字化综合服务平台</w:t>
      </w:r>
      <w:r>
        <w:rPr>
          <w:rFonts w:hint="eastAsia" w:ascii="仿宋" w:hAnsi="仿宋" w:eastAsia="仿宋" w:cs="仿宋"/>
          <w:i w:val="0"/>
          <w:iCs w:val="0"/>
          <w:caps w:val="0"/>
          <w:color w:val="383838"/>
          <w:spacing w:val="0"/>
          <w:kern w:val="0"/>
          <w:sz w:val="32"/>
          <w:szCs w:val="32"/>
          <w:highlight w:val="none"/>
          <w:shd w:val="clear" w:fill="FFFFFF"/>
          <w:lang w:val="en-US" w:eastAsia="zh-CN" w:bidi="ar"/>
        </w:rPr>
        <w:t>两个子模块；并且研发承接单位需根据（3）</w:t>
      </w:r>
      <w:r>
        <w:rPr>
          <w:rFonts w:hint="default" w:ascii="仿宋" w:hAnsi="仿宋" w:eastAsia="仿宋" w:cs="仿宋"/>
          <w:i w:val="0"/>
          <w:iCs w:val="0"/>
          <w:caps w:val="0"/>
          <w:color w:val="383838"/>
          <w:spacing w:val="0"/>
          <w:kern w:val="0"/>
          <w:sz w:val="32"/>
          <w:szCs w:val="32"/>
          <w:highlight w:val="none"/>
          <w:shd w:val="clear" w:fill="FFFFFF"/>
          <w:lang w:val="en-US" w:eastAsia="zh-CN" w:bidi="ar"/>
        </w:rPr>
        <w:t>数字化业务协同管理平台</w:t>
      </w:r>
      <w:r>
        <w:rPr>
          <w:rFonts w:hint="eastAsia" w:ascii="仿宋" w:hAnsi="仿宋" w:eastAsia="仿宋" w:cs="仿宋"/>
          <w:i w:val="0"/>
          <w:iCs w:val="0"/>
          <w:caps w:val="0"/>
          <w:color w:val="383838"/>
          <w:spacing w:val="0"/>
          <w:kern w:val="0"/>
          <w:sz w:val="32"/>
          <w:szCs w:val="32"/>
          <w:highlight w:val="none"/>
          <w:shd w:val="clear" w:fill="FFFFFF"/>
          <w:lang w:val="en-US" w:eastAsia="zh-CN" w:bidi="ar"/>
        </w:rPr>
        <w:t>功能预留相关接口及提供可行性的方案。</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default" w:ascii="仿宋" w:hAnsi="仿宋" w:eastAsia="仿宋" w:cs="仿宋"/>
          <w:i w:val="0"/>
          <w:iCs w:val="0"/>
          <w:caps w:val="0"/>
          <w:color w:val="383838"/>
          <w:spacing w:val="0"/>
          <w:sz w:val="32"/>
          <w:szCs w:val="32"/>
          <w:highlight w:val="none"/>
          <w:shd w:val="clear" w:fill="FFFFFF"/>
        </w:rPr>
      </w:pPr>
      <w:r>
        <w:rPr>
          <w:rFonts w:ascii="仿宋" w:hAnsi="仿宋" w:eastAsia="仿宋" w:cs="仿宋"/>
          <w:b/>
          <w:bCs/>
          <w:i w:val="0"/>
          <w:iCs w:val="0"/>
          <w:caps w:val="0"/>
          <w:color w:val="383838"/>
          <w:spacing w:val="0"/>
          <w:kern w:val="2"/>
          <w:sz w:val="32"/>
          <w:szCs w:val="32"/>
          <w:highlight w:val="none"/>
          <w:shd w:val="clear" w:fill="FFFFFF"/>
          <w:lang w:val="en-US" w:eastAsia="zh-CN" w:bidi="ar"/>
        </w:rPr>
        <w:t>（1）</w:t>
      </w:r>
      <w:r>
        <w:rPr>
          <w:rFonts w:hint="default" w:ascii="仿宋" w:hAnsi="仿宋" w:eastAsia="仿宋" w:cs="仿宋"/>
          <w:b/>
          <w:bCs/>
          <w:i w:val="0"/>
          <w:iCs w:val="0"/>
          <w:caps w:val="0"/>
          <w:color w:val="383838"/>
          <w:spacing w:val="0"/>
          <w:kern w:val="0"/>
          <w:sz w:val="32"/>
          <w:szCs w:val="32"/>
          <w:highlight w:val="none"/>
          <w:shd w:val="clear" w:fill="FFFFFF"/>
          <w:lang w:val="en-US" w:eastAsia="zh-CN" w:bidi="ar"/>
        </w:rPr>
        <w:t>数字化资产管理平台</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40"/>
        <w:jc w:val="both"/>
        <w:rPr>
          <w:rFonts w:hint="default" w:ascii="仿宋" w:hAnsi="仿宋" w:eastAsia="仿宋" w:cs="仿宋"/>
          <w:i w:val="0"/>
          <w:iCs w:val="0"/>
          <w:caps w:val="0"/>
          <w:color w:val="383838"/>
          <w:spacing w:val="0"/>
          <w:sz w:val="32"/>
          <w:szCs w:val="32"/>
          <w:highlight w:val="none"/>
          <w:u w:val="none"/>
          <w:shd w:val="clear" w:fill="FFFFFF"/>
        </w:rPr>
      </w:pPr>
      <w:r>
        <w:rPr>
          <w:rFonts w:hint="default" w:ascii="仿宋" w:hAnsi="仿宋" w:eastAsia="仿宋" w:cs="仿宋"/>
          <w:i w:val="0"/>
          <w:iCs w:val="0"/>
          <w:caps w:val="0"/>
          <w:color w:val="383838"/>
          <w:spacing w:val="0"/>
          <w:kern w:val="0"/>
          <w:sz w:val="32"/>
          <w:szCs w:val="32"/>
          <w:highlight w:val="none"/>
          <w:u w:val="none"/>
          <w:shd w:val="clear" w:fill="FFFFFF"/>
          <w:lang w:val="en-US" w:eastAsia="zh-CN" w:bidi="ar"/>
        </w:rPr>
        <w:t>通过数字化手段提高集团运营管理效率，系统涵盖项目投资、房屋营销、资产管理、财务管理、人事管理、物业管理等功能模块，实现全生命周期资产管理，为集团提供全方位的数字化运营解决方案。平台基于“海政通”建设。</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eastAsia" w:ascii="仿宋" w:hAnsi="仿宋" w:eastAsia="仿宋" w:cs="仿宋"/>
          <w:i w:val="0"/>
          <w:iCs w:val="0"/>
          <w:caps w:val="0"/>
          <w:color w:val="383838"/>
          <w:spacing w:val="0"/>
          <w:kern w:val="0"/>
          <w:sz w:val="32"/>
          <w:szCs w:val="32"/>
          <w:highlight w:val="none"/>
          <w:u w:val="none"/>
          <w:shd w:val="clear" w:fill="FFFFFF"/>
          <w:lang w:val="en-US" w:eastAsia="zh-CN" w:bidi="ar"/>
        </w:rPr>
      </w:pPr>
    </w:p>
    <w:p>
      <w:pPr>
        <w:pStyle w:val="2"/>
        <w:rPr>
          <w:rFonts w:hint="eastAsia" w:ascii="仿宋" w:hAnsi="仿宋" w:eastAsia="仿宋" w:cs="仿宋"/>
          <w:i w:val="0"/>
          <w:iCs w:val="0"/>
          <w:caps w:val="0"/>
          <w:color w:val="383838"/>
          <w:spacing w:val="0"/>
          <w:kern w:val="0"/>
          <w:sz w:val="32"/>
          <w:szCs w:val="32"/>
          <w:highlight w:val="none"/>
          <w:u w:val="none"/>
          <w:shd w:val="clear" w:fill="FFFFFF"/>
          <w:lang w:val="en-US" w:eastAsia="zh-CN" w:bidi="ar"/>
        </w:rPr>
      </w:pPr>
    </w:p>
    <w:p>
      <w:pPr>
        <w:rPr>
          <w:rFonts w:hint="eastAsia" w:ascii="仿宋" w:hAnsi="仿宋" w:eastAsia="仿宋" w:cs="仿宋"/>
          <w:i w:val="0"/>
          <w:iCs w:val="0"/>
          <w:caps w:val="0"/>
          <w:color w:val="383838"/>
          <w:spacing w:val="0"/>
          <w:kern w:val="0"/>
          <w:sz w:val="32"/>
          <w:szCs w:val="32"/>
          <w:highlight w:val="none"/>
          <w:u w:val="none"/>
          <w:shd w:val="clear" w:fill="FFFFFF"/>
          <w:lang w:val="en-US" w:eastAsia="zh-CN" w:bidi="ar"/>
        </w:rPr>
      </w:pPr>
    </w:p>
    <w:p>
      <w:pPr>
        <w:rPr>
          <w:rFonts w:hint="eastAsia"/>
          <w:lang w:val="en-US" w:eastAsia="zh-CN"/>
        </w:rPr>
      </w:pPr>
    </w:p>
    <w:p>
      <w:pPr>
        <w:rPr>
          <w:rFonts w:hint="eastAsia"/>
          <w:lang w:val="en-US" w:eastAsia="zh-CN"/>
        </w:rPr>
      </w:pPr>
    </w:p>
    <w:tbl>
      <w:tblPr>
        <w:tblStyle w:val="9"/>
        <w:tblW w:w="8651" w:type="dxa"/>
        <w:tblInd w:w="-6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77"/>
        <w:gridCol w:w="907"/>
        <w:gridCol w:w="884"/>
        <w:gridCol w:w="1230"/>
        <w:gridCol w:w="1567"/>
        <w:gridCol w:w="35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序号</w:t>
            </w:r>
          </w:p>
        </w:tc>
        <w:tc>
          <w:tcPr>
            <w:tcW w:w="907"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系统</w:t>
            </w:r>
          </w:p>
        </w:tc>
        <w:tc>
          <w:tcPr>
            <w:tcW w:w="884"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模块</w:t>
            </w:r>
          </w:p>
        </w:tc>
        <w:tc>
          <w:tcPr>
            <w:tcW w:w="1230"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一级功能</w:t>
            </w:r>
          </w:p>
        </w:tc>
        <w:tc>
          <w:tcPr>
            <w:tcW w:w="1567"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二级功能</w:t>
            </w:r>
          </w:p>
        </w:tc>
        <w:tc>
          <w:tcPr>
            <w:tcW w:w="3586" w:type="dxa"/>
            <w:vMerge w:val="restart"/>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b/>
                <w:bCs/>
                <w:i w:val="0"/>
                <w:iCs w:val="0"/>
                <w:caps w:val="0"/>
                <w:color w:val="383838"/>
                <w:spacing w:val="0"/>
                <w:sz w:val="24"/>
                <w:szCs w:val="24"/>
                <w:highlight w:val="none"/>
                <w:shd w:val="clear" w:fill="FFFFFF"/>
                <w:vertAlign w:val="baseline"/>
                <w:lang w:val="en-US" w:eastAsia="zh-CN"/>
              </w:rPr>
              <w:t>功能描述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907"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3586" w:type="dxa"/>
            <w:vMerge w:val="continue"/>
            <w:tcBorders>
              <w:top w:val="single" w:color="auto" w:sz="4" w:space="0"/>
              <w:left w:val="single" w:color="auto" w:sz="4" w:space="0"/>
              <w:bottom w:val="single" w:color="auto" w:sz="4" w:space="0"/>
              <w:right w:val="single" w:color="auto" w:sz="4" w:space="0"/>
            </w:tcBorders>
            <w:shd w:val="clear" w:color="auto" w:fill="auto"/>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auto"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w:t>
            </w:r>
          </w:p>
        </w:tc>
        <w:tc>
          <w:tcPr>
            <w:tcW w:w="907" w:type="dxa"/>
            <w:vMerge w:val="restart"/>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数字化资产管理平台（PC端）</w:t>
            </w:r>
          </w:p>
        </w:tc>
        <w:tc>
          <w:tcPr>
            <w:tcW w:w="884" w:type="dxa"/>
            <w:vMerge w:val="restart"/>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一、系统基础管理</w:t>
            </w: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numPr>
                <w:ilvl w:val="0"/>
                <w:numId w:val="0"/>
              </w:numPr>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一、系统基础管理</w:t>
            </w: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账号管理</w:t>
            </w:r>
          </w:p>
        </w:tc>
        <w:tc>
          <w:tcPr>
            <w:tcW w:w="1567" w:type="dxa"/>
            <w:tcBorders>
              <w:top w:val="single" w:color="auto"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账号管理</w:t>
            </w:r>
          </w:p>
        </w:tc>
        <w:tc>
          <w:tcPr>
            <w:tcW w:w="3586" w:type="dxa"/>
            <w:tcBorders>
              <w:top w:val="single" w:color="auto"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账号新建、编辑、删除，重置密码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账号登录</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登录系统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角色及权限管理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角色管理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角色创建、编辑、删除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权限管理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角色的权限管理，菜单权限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资产管理权限管理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资产数据的权限管理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基础数据管理（数据字典）</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项目目录树管理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提供项目分类、项目信息维护功能。根据项目信息可以拆分成分区管理、楼栋管理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资产分类管理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提供资产分类管理，支持按树形结构。提供资产分类与编号创建、维护功能。导入为后台导入。项目类型、项目状态、区划管理、资产类型、资产状态等数据类型可以自定义维护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8</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房源类型</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维护房源类型字典，安居房、安置房、商品房、商铺、产权车位、人防车位等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9</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合同类型</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维护合同类型字典，采购合同、战略合作协议、租赁合同、不动产销售合同等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10</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auto"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消息通知管理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消息通知</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海政通消息通知、短信通知，可对接租赁合同、合同节点提醒等内容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11</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000000" w:sz="4" w:space="0"/>
              <w:left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数据接口</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资产分类接口</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预留资产分类接口未来能够与财务系统集成，支持资产分类双向数据同步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74"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12</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合同接口</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将合同管理的数据封装接口，可用于OA系统和财务系统对接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二、通用业务管理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二、通用业务管理</w:t>
            </w:r>
          </w:p>
        </w:tc>
        <w:tc>
          <w:tcPr>
            <w:tcW w:w="1230" w:type="dxa"/>
            <w:vMerge w:val="restart"/>
            <w:tcBorders>
              <w:top w:val="single" w:color="auto" w:sz="4" w:space="0"/>
              <w:left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业务审批流程管理</w:t>
            </w:r>
          </w:p>
        </w:tc>
        <w:tc>
          <w:tcPr>
            <w:tcW w:w="1567" w:type="dxa"/>
            <w:tcBorders>
              <w:top w:val="single" w:color="auto" w:sz="4" w:space="0"/>
              <w:left w:val="single" w:color="auto"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新建业务审批流程</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新建业务审批流程，关联至业务模块，选择流程节点配置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配置流程节点</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配置流程审批节点（可复用），供业务审批流程选择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7" w:hRule="atLeast"/>
        </w:trPr>
        <w:tc>
          <w:tcPr>
            <w:tcW w:w="477" w:type="dxa"/>
            <w:tcBorders>
              <w:top w:val="single" w:color="auto" w:sz="4" w:space="0"/>
              <w:left w:val="single" w:color="auto"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15</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政策依据</w:t>
            </w:r>
          </w:p>
        </w:tc>
        <w:tc>
          <w:tcPr>
            <w:tcW w:w="1567" w:type="dxa"/>
            <w:tcBorders>
              <w:top w:val="single" w:color="000000" w:sz="4" w:space="0"/>
              <w:left w:val="single" w:color="auto"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政策文件库</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上传、导入文件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16</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手动关联（创建政策依据）</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引用的模块，填写文号、标题、第几款，查找并关联政策文件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auto"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17</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政策提示</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政策更新时可同步提示到项目投资管理模块（所关联的项目）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客户信息管理</w:t>
            </w:r>
          </w:p>
        </w:tc>
        <w:tc>
          <w:tcPr>
            <w:tcW w:w="1567" w:type="dxa"/>
            <w:tcBorders>
              <w:top w:val="single" w:color="auto"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个人客户</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维护个人客户信息，后续在合同管理引用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19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企业客户</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维护企业客户信息，后续在合同管理引用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合同管理</w:t>
            </w:r>
          </w:p>
        </w:tc>
        <w:tc>
          <w:tcPr>
            <w:tcW w:w="1567" w:type="dxa"/>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合同统一管理</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走完OA流程的合同可创建合同、导入合同文件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21</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合同变更管理</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如销售合同变更等，合同变更需关联原合同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89"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22</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合同节点提醒</w:t>
            </w:r>
          </w:p>
        </w:tc>
        <w:tc>
          <w:tcPr>
            <w:tcW w:w="3586"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维护合同节点后，定期提醒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三、资产运营管理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三、资产运营管理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三、资产运营管理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三、资产运营管理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三、资产运营管理</w:t>
            </w:r>
          </w:p>
        </w:tc>
        <w:tc>
          <w:tcPr>
            <w:tcW w:w="1230" w:type="dxa"/>
            <w:vMerge w:val="restart"/>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经营性资产管理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经营性资产管理</w:t>
            </w:r>
          </w:p>
        </w:tc>
        <w:tc>
          <w:tcPr>
            <w:tcW w:w="1567" w:type="dxa"/>
            <w:tcBorders>
              <w:top w:val="single" w:color="auto"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资产数据台账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通过建立资产台账、卡片，形成资产档案，盘清企业资产情况。支持创建、导入、查看、修改、删除等功能。资产台账根据资产的类型可以分为统一资产台账（一级台账）、固定资产台账、无形资产台账（二级台账）等三个类型台账。三种台账的表结构设计需要包含统一信息、拓展信息、关联流程等三种信息。所有资产支持筛选、导出统一信息作为资产台账便于统计、对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资产卡片管理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①统一信息②拓展信息，基本信息、产权信息、流转记录、财务价值信息、变更记录、维修记录、保养记录、租赁记录、收支信息等基本信息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25</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资产流程化管理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资产取得流程、资产维修流程、资产处置流程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26</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产品销售管理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产品销售管理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销售房源数据台账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根据系统在建项目，设置楼栋、房屋的面积、朝向、装修等参数，快速初始化生成楼栋信息、房源信息，形成“房源数据管理台账”（备注：销售房源不属于固定资产，属于在建工程开发成果）。房源数据台账支持更新、维护房源信息；支持按图表、按区域、按项目等多维度展示的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27</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房源销售监控视图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销售房源数据管理台账支持切换视图模式，展示每一个分区、楼栋的销售状态、户型、销售面积、销售金额、销售时间等信息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房源价格管理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提供底价信息管理、标准价信息管理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29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客户信息管理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提供客户信息、意向信息、带看记录、签约合同、付款记录等信息记录和查询。【销售人员电脑端更新】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交易管理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提供合同签订管理、合同变更管理（支持换房、退房、更名、折扣、价格等变更）。（签约合同、从订购到签约，折扣审批、成交途径等）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31</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关联收据</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录入销售合同的时候，要选择是否有预付款项，有则跟收据关联上。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32</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成交后管理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增减名、更名、换房、退房等成交后管理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销售分析</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提供房源销售情况（预测、实测）、房源价格走势、客户分布情况等数据分析,便于企业销售管理决策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回款分析</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已经回收的款项按照不同的类型进行统计，方便进行查询，对楼款、按揭、代收费用进行汇总分析。由销售部门录入回款数据。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35</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资产租赁管理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资产租赁管理</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资产租赁管理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租赁资产数据台账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系统筛选“资产基础数据库-固定资产台账”符合“经营性资产”条件的数据，生成（非创建）租赁资产管理台账（备注：非经营性资产不提供对外租赁服务）。台账支持按城市、区域、项目、资产类型、地图等多维度展示和查询，方便在线管控租赁资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36</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房源租赁监控视图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赁资产管理台账支持切换视图模式，展示每一个房屋建筑物的租赁状态、户型、出租面积、租客名称、租赁周期等信息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37</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价格管理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提供租金设置、管理费设置、保证金、其他费用、费用自动计算。价格设置更新资产卡片拓展信息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租赁合同管理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租赁合同台账、租赁合同等相关功能操作，租赁合同创建。录入租赁资产信息、租期、租金（匹配各种租金计算模式（租金、物业费、服务费等费用））、约定条款、客户信息、租赁合同上传等信息，发起流程审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39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收租计划管理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按租赁合同条款自动生成年度、季度、月度收租计划，便于管理人员监控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租户信息管理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汇聚租赁合同的租户信息形成台账，查看其关联租赁资产、租赁期限、账单管理、缴费状态，便于租户人员管理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41</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资产日常管理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资产盘点管理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包括计划、任务、反馈三个管理功能。提供分子公司资产部门创建资产盘点计划，并对计划按部门、按项目分解任务及执行人，执行人按任务要求现场盘点登记信息，系统展示盘点进展情况。对于盘点过程中出现的盘盈盘亏，支持流程化审批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42</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资产维修管理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提供投诉维修台账、问题整改反馈等相关功能操作。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巡检巡逻管理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提供巡检记录单，在日常巡检房源、店铺过程中，支持登记、拍照、反馈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63"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合作研发承接单位台账管理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提供合作研发承接单位基础信息录入、修改和维护管理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45</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四、项目投资管理模块</w:t>
            </w: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四、项目投资管理模块</w:t>
            </w:r>
          </w:p>
        </w:tc>
        <w:tc>
          <w:tcPr>
            <w:tcW w:w="1230" w:type="dxa"/>
            <w:tcBorders>
              <w:top w:val="single" w:color="auto"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投资企业信息管理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投资企业信息台账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投资企业涵盖投资、控股、并表、合伙等企业类型。提供新增、修改、维护、查看功能，亦支持创建、变更流程化审批。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47"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46</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投资项目信息管理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投资项目信息台账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提供创建、修改、维护、查看功能。投资项目基本信息。包括项目名称、项目地点、项目区域、项目阶段、项目状态、投资规模等信息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65"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47</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投资文档库</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投资文档清单库</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创建投资企业、投资项目后，在各阶段上传的各类项目文件、审批文件、意见、报告、纪要、协议等进行目录管理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47"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48</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五、综合运营分析模块</w:t>
            </w:r>
          </w:p>
        </w:tc>
        <w:tc>
          <w:tcPr>
            <w:tcW w:w="1230" w:type="dxa"/>
            <w:vMerge w:val="restart"/>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综合运营分析驾驶舱</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综合经营分析一张图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提供企业发展分析、财务管控分析、人力资源管理分析、资产管理分析等可视化看板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112"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49</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投资项目分析一张图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能够提供集团公司投资控股企业、投资项目、在建工程等多种类型的投资分析，展示所投企业分布、类型等数据分析、投资项目投资额、投资状态、进度等数据分析、在建工程项目的概况信息、付款进度、工期进度等分析等看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5"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50</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资产经营分析一张图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通过资产地图展示资产租赁分析（如收缴率、出租率指标、成本、收益）、不动产售楼分析（如销售预测、销售实测）、维修巡检分析（危房率、故障率、维修数量）等可视化看板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51</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六、工程管理模块</w:t>
            </w:r>
          </w:p>
        </w:tc>
        <w:tc>
          <w:tcPr>
            <w:tcW w:w="1230" w:type="dxa"/>
            <w:vMerge w:val="restart"/>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进度管理看板</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制定进度计划</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每个项目开始前会制定进度计划，上传固化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52</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进度动态更新</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前期（可研、立项）、设计、施工、竣工、维保、结算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53</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超期预警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对进度超期进行预警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54</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auto"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质量管理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质量问题管理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管理方上传问题内容、施工方上传整顿情况，监理方核实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55</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安全管理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整改单管理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二级企业或集团创建，业务方处理回复，集团可查看质量情况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56</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000000" w:sz="4" w:space="0"/>
              <w:left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造价管控管理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进度支付情况</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是否与合同一致，集团督查，是否超付，提前付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57</w:t>
            </w:r>
          </w:p>
        </w:tc>
        <w:tc>
          <w:tcPr>
            <w:tcW w:w="907"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000000"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变更管理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中间变更、签证核价，重新合并，主材认质认价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七、财务管理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七、财务管理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七、财务管理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七、财务管理</w:t>
            </w:r>
          </w:p>
        </w:tc>
        <w:tc>
          <w:tcPr>
            <w:tcW w:w="1230" w:type="dxa"/>
            <w:vMerge w:val="restart"/>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账单管理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账单管理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账单生成</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根据房源销售收款计划、租赁合同的租金模式（每月&amp;每季度&amp;每年）自动生成“费用账单”。需经管部门审核后推送至财务部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07"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59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账单收款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提供对线上支付的账单，直连银行账户的来账数据，账单与流水匹配。未直连数据支持人工干预快速核销，直连数据支持接口层面自动匹配。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账单提醒</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基于账单收款对账，分析并显示出“账单未生成”、“生成账单”、“处理中”、“逾期未付”、“已付款”等状态。账单提醒预留短信接口，未来可以发送承租人。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61</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auto"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催缴管理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欠款查询</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根据房间号快速查询欠款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62</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发起通知单</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发起通知单的功能跟OA对接，提前设置好OA流程，在这里点击“发起通知单”，弹出二级确认页面，确认后生成OA单。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发票管理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关联发票信息</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从收款台账生成开票信息，如果收款台账带了资产编码的唯一字段，开票信息也可以带上资产编码。</w:t>
            </w:r>
            <w:r>
              <w:rPr>
                <w:rFonts w:hint="eastAsia" w:ascii="仿宋" w:hAnsi="仿宋" w:eastAsia="仿宋" w:cs="仿宋"/>
                <w:i w:val="0"/>
                <w:iCs w:val="0"/>
                <w:caps w:val="0"/>
                <w:color w:val="383838"/>
                <w:spacing w:val="0"/>
                <w:sz w:val="24"/>
                <w:szCs w:val="24"/>
                <w:highlight w:val="none"/>
                <w:shd w:val="clear" w:fill="FFFFFF"/>
                <w:vertAlign w:val="baseline"/>
                <w:lang w:val="en-US" w:eastAsia="zh-CN"/>
              </w:rPr>
              <w:br w:type="textWrapping"/>
            </w: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把每一笔收款的开票信息关联到资产销售、资产租赁上。汇总电子发票附件，批量导入，OCR识别后自动关联。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000000" w:sz="4" w:space="0"/>
              <w:left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收据管理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创建收据</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创建收据、填写类型和金额，对于租金收据，搜索关联资产/合同；对于销售收据，后关联资产/合同；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65</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left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下载收据</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根据收据模板和填写信息，下载收据并打印使用，公司编号连续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65"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66</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收据作废</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输入收据编号，点击作废，弹出打印界面（注明作废两个字）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2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67</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000000" w:sz="4" w:space="0"/>
              <w:left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收支管理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收支列表台账</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收入项对应收据和租金计划，支出项对应支出流程产生的数据。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81"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left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支出管理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实物收据文件，拍照，选择数字收据，上传实物收据文件，</w:t>
            </w:r>
            <w:r>
              <w:rPr>
                <w:rFonts w:hint="eastAsia" w:ascii="仿宋" w:hAnsi="仿宋" w:eastAsia="仿宋" w:cs="仿宋"/>
                <w:i w:val="0"/>
                <w:iCs w:val="0"/>
                <w:caps w:val="0"/>
                <w:color w:val="383838"/>
                <w:spacing w:val="0"/>
                <w:sz w:val="24"/>
                <w:szCs w:val="24"/>
                <w:highlight w:val="none"/>
                <w:shd w:val="clear" w:fill="FFFFFF"/>
                <w:vertAlign w:val="baseline"/>
                <w:lang w:val="en-US" w:eastAsia="zh-CN"/>
              </w:rPr>
              <w:br w:type="textWrapping"/>
            </w: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销售类型的支出，需要现在合同录入时创建客户信息，同时关联收据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69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申请付款</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核实录入支出数据后，发起财务共享的通用付款单流程，流程结束后在运营系统内点击“确认付款”后完成。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预收租金分摊</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预收租金分摊表</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选择资产/合同，填写分摊租金金额，填写时间（段），分为不含税价，税。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71</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财务分析</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销售/租赁分析</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对不同项目、分区以及楼栋的款项分布分析统计，便于了解款项的应收、实收、未收和多收情况。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72</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restart"/>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八、人事管理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八、人事管理</w:t>
            </w:r>
          </w:p>
        </w:tc>
        <w:tc>
          <w:tcPr>
            <w:tcW w:w="1230" w:type="dxa"/>
            <w:tcBorders>
              <w:top w:val="single" w:color="auto"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人员信息管理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花名册</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default"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根据人事档案导入、维护花名册数据（入职、合同、职位变动、职称更新）、离职人员数据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73</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导出</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按个人及公司（需求）可导出，《个人履历表》、《干部任免审批表》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74</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工资管理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工资信息管理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按格式维护工资信息，支持打印用于审核流程。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15"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75</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统计分析</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按照国资委要求输出统计分析汇报内容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76</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绩效考核</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绩效考核管理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员工按月，中层按季度创建绩效考核得分；形成汇总表；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6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77</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历史考核数据</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可查询绩效考核历史评价数据、支持导出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753"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78</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培训管理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培训信息管理</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按季度做培训统计情况表，每个部门需要维护更新，人员、培训内容、费用等；汇总表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79</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restart"/>
            <w:tcBorders>
              <w:top w:val="single" w:color="000000"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招聘管理</w:t>
            </w: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招聘管理</w:t>
            </w: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人才简历库数据初始化</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批量导入简历附件，自动识别姓名手机号身份证等关键信息，能实现目录查询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80</w:t>
            </w:r>
          </w:p>
        </w:tc>
        <w:tc>
          <w:tcPr>
            <w:tcW w:w="907" w:type="dxa"/>
            <w:vMerge w:val="continue"/>
            <w:tcBorders>
              <w:top w:val="single" w:color="auto" w:sz="4" w:space="0"/>
              <w:left w:val="single" w:color="auto"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auto"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vMerge w:val="continue"/>
            <w:tcBorders>
              <w:top w:val="single" w:color="auto" w:sz="4" w:space="0"/>
              <w:left w:val="single" w:color="000000" w:sz="4" w:space="0"/>
              <w:bottom w:val="single" w:color="auto"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567" w:type="dxa"/>
            <w:tcBorders>
              <w:top w:val="single" w:color="000000" w:sz="4" w:space="0"/>
              <w:left w:val="single" w:color="auto"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数据维护和查询</w:t>
            </w:r>
          </w:p>
        </w:tc>
        <w:tc>
          <w:tcPr>
            <w:tcW w:w="3586"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可录入考核记录，可查询是否有考核记录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81</w:t>
            </w:r>
          </w:p>
        </w:tc>
        <w:tc>
          <w:tcPr>
            <w:tcW w:w="907" w:type="dxa"/>
            <w:vMerge w:val="restart"/>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数字化资产管理平台（移动端）</w:t>
            </w:r>
          </w:p>
        </w:tc>
        <w:tc>
          <w:tcPr>
            <w:tcW w:w="884" w:type="dxa"/>
            <w:vMerge w:val="restart"/>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综合管理</w:t>
            </w:r>
          </w:p>
        </w:tc>
        <w:tc>
          <w:tcPr>
            <w:tcW w:w="1230" w:type="dxa"/>
            <w:tcBorders>
              <w:top w:val="single" w:color="auto"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资产日常管理</w:t>
            </w:r>
          </w:p>
        </w:tc>
        <w:tc>
          <w:tcPr>
            <w:tcW w:w="1567"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巡检巡逻管理</w:t>
            </w:r>
          </w:p>
        </w:tc>
        <w:tc>
          <w:tcPr>
            <w:tcW w:w="3586" w:type="dxa"/>
            <w:tcBorders>
              <w:top w:val="single" w:color="000000"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创建巡检记录单，在日常巡检房源、店铺过程中，支持登记、拍照、反馈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82</w:t>
            </w:r>
          </w:p>
        </w:tc>
        <w:tc>
          <w:tcPr>
            <w:tcW w:w="907"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质量管理</w:t>
            </w:r>
          </w:p>
        </w:tc>
        <w:tc>
          <w:tcPr>
            <w:tcW w:w="156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质量问题管理</w:t>
            </w:r>
          </w:p>
        </w:tc>
        <w:tc>
          <w:tcPr>
            <w:tcW w:w="3586" w:type="dxa"/>
            <w:tcBorders>
              <w:top w:val="single" w:color="auto" w:sz="4" w:space="0"/>
              <w:left w:val="single" w:color="auto" w:sz="4" w:space="0"/>
              <w:bottom w:val="single" w:color="auto" w:sz="4" w:space="0"/>
              <w:right w:val="single" w:color="auto" w:sz="4" w:space="0"/>
            </w:tcBorders>
            <w:shd w:val="clear" w:color="auto" w:fill="FFFFFF"/>
            <w:noWrap/>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施工方对于问题内容上传整顿情况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0" w:hRule="atLeast"/>
        </w:trPr>
        <w:tc>
          <w:tcPr>
            <w:tcW w:w="477" w:type="dxa"/>
            <w:tcBorders>
              <w:top w:val="single" w:color="000000" w:sz="4" w:space="0"/>
              <w:left w:val="single" w:color="000000" w:sz="4" w:space="0"/>
              <w:bottom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83</w:t>
            </w:r>
          </w:p>
        </w:tc>
        <w:tc>
          <w:tcPr>
            <w:tcW w:w="907"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884" w:type="dxa"/>
            <w:vMerge w:val="continue"/>
            <w:tcBorders>
              <w:top w:val="single" w:color="auto" w:sz="4" w:space="0"/>
              <w:left w:val="single" w:color="000000" w:sz="4" w:space="0"/>
              <w:bottom w:val="single" w:color="auto"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p>
        </w:tc>
        <w:tc>
          <w:tcPr>
            <w:tcW w:w="1230" w:type="dxa"/>
            <w:tcBorders>
              <w:top w:val="single" w:color="000000" w:sz="4" w:space="0"/>
              <w:left w:val="single" w:color="000000" w:sz="4" w:space="0"/>
              <w:bottom w:val="single" w:color="000000" w:sz="4" w:space="0"/>
              <w:right w:val="single" w:color="000000"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安全管理</w:t>
            </w:r>
          </w:p>
        </w:tc>
        <w:tc>
          <w:tcPr>
            <w:tcW w:w="1567" w:type="dxa"/>
            <w:tcBorders>
              <w:top w:val="single" w:color="000000" w:sz="4" w:space="0"/>
              <w:left w:val="single" w:color="000000" w:sz="4" w:space="0"/>
              <w:bottom w:val="single" w:color="000000" w:sz="4" w:space="0"/>
              <w:right w:val="single" w:color="auto" w:sz="4" w:space="0"/>
            </w:tcBorders>
            <w:shd w:val="clear" w:color="auto" w:fill="FFFFFF"/>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整改单处理</w:t>
            </w:r>
          </w:p>
        </w:tc>
        <w:tc>
          <w:tcPr>
            <w:tcW w:w="3586" w:type="dxa"/>
            <w:tcBorders>
              <w:top w:val="single" w:color="auto" w:sz="4" w:space="0"/>
              <w:left w:val="single" w:color="auto" w:sz="4" w:space="0"/>
              <w:bottom w:val="single" w:color="auto" w:sz="4" w:space="0"/>
              <w:right w:val="single" w:color="auto" w:sz="4" w:space="0"/>
            </w:tcBorders>
            <w:shd w:val="clear" w:color="auto" w:fill="FFFFFF"/>
            <w:noWrap/>
            <w:tcMar>
              <w:top w:w="20" w:type="dxa"/>
              <w:left w:w="30" w:type="dxa"/>
              <w:bottom w:w="20" w:type="dxa"/>
              <w:right w:w="30" w:type="dxa"/>
            </w:tcMar>
            <w:vAlign w:val="center"/>
          </w:tcPr>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24"/>
                <w:szCs w:val="24"/>
                <w:highlight w:val="none"/>
                <w:shd w:val="clear" w:fill="FFFFFF"/>
                <w:vertAlign w:val="baseline"/>
                <w:lang w:val="en-US" w:eastAsia="zh-CN"/>
              </w:rPr>
            </w:pPr>
            <w:r>
              <w:rPr>
                <w:rFonts w:hint="eastAsia" w:ascii="仿宋" w:hAnsi="仿宋" w:eastAsia="仿宋" w:cs="仿宋"/>
                <w:i w:val="0"/>
                <w:iCs w:val="0"/>
                <w:caps w:val="0"/>
                <w:color w:val="383838"/>
                <w:spacing w:val="0"/>
                <w:sz w:val="24"/>
                <w:szCs w:val="24"/>
                <w:highlight w:val="none"/>
                <w:shd w:val="clear" w:fill="FFFFFF"/>
                <w:vertAlign w:val="baseline"/>
                <w:lang w:val="en-US" w:eastAsia="zh-CN"/>
              </w:rPr>
              <w:t>业务方处理回复安全管理内容，集团可查看质量情况</w:t>
            </w:r>
          </w:p>
        </w:tc>
      </w:tr>
    </w:tbl>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default" w:ascii="仿宋" w:hAnsi="仿宋" w:eastAsia="仿宋" w:cs="仿宋"/>
          <w:b/>
          <w:bCs/>
          <w:i w:val="0"/>
          <w:iCs w:val="0"/>
          <w:caps w:val="0"/>
          <w:color w:val="383838"/>
          <w:spacing w:val="0"/>
          <w:kern w:val="2"/>
          <w:sz w:val="32"/>
          <w:szCs w:val="32"/>
          <w:highlight w:val="none"/>
          <w:shd w:val="clear" w:fill="FFFFFF"/>
          <w:lang w:val="en-US" w:eastAsia="zh-CN" w:bidi="ar"/>
        </w:rPr>
      </w:pPr>
      <w:r>
        <w:rPr>
          <w:rFonts w:hint="eastAsia" w:ascii="仿宋" w:hAnsi="仿宋" w:eastAsia="仿宋" w:cs="仿宋"/>
          <w:b/>
          <w:bCs/>
          <w:i w:val="0"/>
          <w:iCs w:val="0"/>
          <w:caps w:val="0"/>
          <w:color w:val="383838"/>
          <w:spacing w:val="0"/>
          <w:kern w:val="2"/>
          <w:sz w:val="32"/>
          <w:szCs w:val="32"/>
          <w:highlight w:val="none"/>
          <w:shd w:val="clear" w:fill="FFFFFF"/>
          <w:lang w:val="en-US" w:eastAsia="zh-CN" w:bidi="ar"/>
        </w:rPr>
        <w:t>（2）</w:t>
      </w:r>
      <w:r>
        <w:rPr>
          <w:rFonts w:hint="default" w:ascii="仿宋" w:hAnsi="仿宋" w:eastAsia="仿宋" w:cs="仿宋"/>
          <w:b/>
          <w:bCs/>
          <w:i w:val="0"/>
          <w:iCs w:val="0"/>
          <w:caps w:val="0"/>
          <w:color w:val="383838"/>
          <w:spacing w:val="0"/>
          <w:kern w:val="2"/>
          <w:sz w:val="32"/>
          <w:szCs w:val="32"/>
          <w:highlight w:val="none"/>
          <w:shd w:val="clear" w:fill="FFFFFF"/>
          <w:lang w:val="en-US" w:eastAsia="zh-CN" w:bidi="ar"/>
        </w:rPr>
        <w:t>数字化综合服务平台</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pPr>
      <w:r>
        <w:rPr>
          <w:rFonts w:ascii="仿宋" w:hAnsi="仿宋" w:eastAsia="仿宋" w:cs="仿宋"/>
          <w:b w:val="0"/>
          <w:bCs w:val="0"/>
          <w:i w:val="0"/>
          <w:iCs w:val="0"/>
          <w:caps w:val="0"/>
          <w:color w:val="383838"/>
          <w:spacing w:val="0"/>
          <w:kern w:val="2"/>
          <w:sz w:val="32"/>
          <w:szCs w:val="32"/>
          <w:highlight w:val="none"/>
          <w:shd w:val="clear" w:fill="FFFFFF"/>
          <w:lang w:val="en-US" w:eastAsia="zh-CN" w:bidi="ar"/>
        </w:rPr>
        <w:t>以</w:t>
      </w:r>
      <w:r>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t>To C为服务目标，与我省一网通办“海易办”平台进行对接，建设海易办服务专区。</w:t>
      </w:r>
      <w:r>
        <w:rPr>
          <w:rFonts w:hint="eastAsia" w:ascii="仿宋" w:hAnsi="仿宋" w:eastAsia="仿宋" w:cs="仿宋"/>
          <w:b w:val="0"/>
          <w:bCs w:val="0"/>
          <w:i w:val="0"/>
          <w:iCs w:val="0"/>
          <w:caps w:val="0"/>
          <w:color w:val="383838"/>
          <w:spacing w:val="0"/>
          <w:kern w:val="2"/>
          <w:sz w:val="32"/>
          <w:szCs w:val="32"/>
          <w:highlight w:val="none"/>
          <w:shd w:val="clear" w:fill="FFFFFF"/>
          <w:lang w:val="en-US" w:eastAsia="zh-CN" w:bidi="ar"/>
        </w:rPr>
        <w:t>——在</w:t>
      </w:r>
      <w:r>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t>海易办</w:t>
      </w:r>
      <w:r>
        <w:rPr>
          <w:rFonts w:hint="eastAsia" w:ascii="仿宋" w:hAnsi="仿宋" w:eastAsia="仿宋" w:cs="仿宋"/>
          <w:b w:val="0"/>
          <w:bCs w:val="0"/>
          <w:i w:val="0"/>
          <w:iCs w:val="0"/>
          <w:caps w:val="0"/>
          <w:color w:val="383838"/>
          <w:spacing w:val="0"/>
          <w:kern w:val="2"/>
          <w:sz w:val="32"/>
          <w:szCs w:val="32"/>
          <w:highlight w:val="none"/>
          <w:shd w:val="clear" w:fill="FFFFFF"/>
          <w:lang w:val="en-US" w:eastAsia="zh-CN" w:bidi="ar"/>
        </w:rPr>
        <w:t>内建设</w:t>
      </w:r>
      <w:r>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t>服务专区</w:t>
      </w:r>
      <w:r>
        <w:rPr>
          <w:rFonts w:hint="eastAsia" w:ascii="仿宋" w:hAnsi="仿宋" w:eastAsia="仿宋" w:cs="仿宋"/>
          <w:b w:val="0"/>
          <w:bCs w:val="0"/>
          <w:i w:val="0"/>
          <w:iCs w:val="0"/>
          <w:caps w:val="0"/>
          <w:color w:val="383838"/>
          <w:spacing w:val="0"/>
          <w:kern w:val="2"/>
          <w:sz w:val="32"/>
          <w:szCs w:val="32"/>
          <w:highlight w:val="none"/>
          <w:shd w:val="clear" w:fill="FFFFFF"/>
          <w:lang w:val="en-US" w:eastAsia="zh-CN" w:bidi="ar"/>
        </w:rPr>
        <w:t>。</w:t>
      </w:r>
    </w:p>
    <w:tbl>
      <w:tblPr>
        <w:tblStyle w:val="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10"/>
        <w:gridCol w:w="619"/>
        <w:gridCol w:w="742"/>
        <w:gridCol w:w="1230"/>
        <w:gridCol w:w="1495"/>
        <w:gridCol w:w="37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序号</w:t>
            </w:r>
          </w:p>
        </w:tc>
        <w:tc>
          <w:tcPr>
            <w:tcW w:w="371"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系统</w:t>
            </w:r>
          </w:p>
        </w:tc>
        <w:tc>
          <w:tcPr>
            <w:tcW w:w="44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模块</w:t>
            </w:r>
          </w:p>
        </w:tc>
        <w:tc>
          <w:tcPr>
            <w:tcW w:w="738"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一级功能</w:t>
            </w:r>
          </w:p>
        </w:tc>
        <w:tc>
          <w:tcPr>
            <w:tcW w:w="897"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二级功能</w:t>
            </w:r>
          </w:p>
        </w:tc>
        <w:tc>
          <w:tcPr>
            <w:tcW w:w="224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功能描述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78"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84</w:t>
            </w:r>
          </w:p>
        </w:tc>
        <w:tc>
          <w:tcPr>
            <w:tcW w:w="371" w:type="pct"/>
            <w:vMerge w:val="restar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数字化综合服务平台</w:t>
            </w:r>
          </w:p>
        </w:tc>
        <w:tc>
          <w:tcPr>
            <w:tcW w:w="445" w:type="pct"/>
            <w:vMerge w:val="restart"/>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海易办服务专区</w:t>
            </w:r>
          </w:p>
        </w:tc>
        <w:tc>
          <w:tcPr>
            <w:tcW w:w="738" w:type="pct"/>
            <w:vMerge w:val="restart"/>
            <w:tcBorders>
              <w:top w:val="single" w:color="auto" w:sz="4" w:space="0"/>
              <w:left w:val="single" w:color="000000" w:sz="4" w:space="0"/>
              <w:bottom w:val="single" w:color="000000"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房源地图</w:t>
            </w:r>
          </w:p>
        </w:tc>
        <w:tc>
          <w:tcPr>
            <w:tcW w:w="897" w:type="pct"/>
            <w:tcBorders>
              <w:top w:val="single" w:color="auto" w:sz="4" w:space="0"/>
              <w:left w:val="single" w:color="auto" w:sz="4" w:space="0"/>
              <w:bottom w:val="single" w:color="000000"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查看房源地图</w:t>
            </w:r>
          </w:p>
        </w:tc>
        <w:tc>
          <w:tcPr>
            <w:tcW w:w="2241"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基于地图组件，查看集团完整的房源地图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85</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000000" w:sz="4" w:space="0"/>
              <w:left w:val="single" w:color="000000" w:sz="4" w:space="0"/>
              <w:bottom w:val="single" w:color="000000"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auto" w:sz="4" w:space="0"/>
              <w:bottom w:val="single" w:color="000000"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查看单个房源详细信息</w:t>
            </w:r>
          </w:p>
        </w:tc>
        <w:tc>
          <w:tcPr>
            <w:tcW w:w="2241"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点击可查看单个房源的详细信息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86</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000000" w:sz="4" w:space="0"/>
              <w:left w:val="single" w:color="000000"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搜索房源</w:t>
            </w:r>
          </w:p>
        </w:tc>
        <w:tc>
          <w:tcPr>
            <w:tcW w:w="2241"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可筛选、搜索房源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87</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restart"/>
            <w:tcBorders>
              <w:top w:val="single" w:color="auto" w:sz="4" w:space="0"/>
              <w:left w:val="single" w:color="000000"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购房资格申请</w:t>
            </w:r>
          </w:p>
        </w:tc>
        <w:tc>
          <w:tcPr>
            <w:tcW w:w="897" w:type="pct"/>
            <w:tcBorders>
              <w:top w:val="single" w:color="auto"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跳转资格申请入口</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快捷跳转政务服务购房资格申请页面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88</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auto" w:sz="4" w:space="0"/>
              <w:left w:val="single" w:color="000000"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auto"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资格申请进度查询</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查询资格申请进度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89</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restart"/>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公租房申请</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跳转资格申请入口</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快捷跳转政务服务申请页面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90</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申请进度查询</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查询申请进度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91</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restart"/>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保租房申请</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跳转资格申请入口</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快捷跳转政务服务申请页面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92</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auto" w:sz="4" w:space="0"/>
              <w:left w:val="single" w:color="000000" w:sz="4" w:space="0"/>
              <w:bottom w:val="single" w:color="auto"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申请进度查询</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查询申请进度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93</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tcBorders>
              <w:top w:val="single" w:color="auto"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身份信息核验</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身份信息核验</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对租户信息进行核验，通过后匹配房屋信息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94</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租金缴纳</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账单查询</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查询账单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95</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账单缴费</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账单缴费（关联房屋信息，与运营平台财务管理模块对接）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96</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缴费记录</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查看缴费记录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97</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restart"/>
            <w:tcBorders>
              <w:top w:val="single" w:color="000000" w:sz="4" w:space="0"/>
              <w:left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物业管理</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报修报障</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通过手机端拍照录视频进行报修报障（与运营平台物业管理对接）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57"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kern w:val="0"/>
                <w:sz w:val="24"/>
                <w:szCs w:val="24"/>
                <w:highlight w:val="none"/>
                <w:u w:val="none"/>
                <w:lang w:val="en-US" w:eastAsia="zh-CN" w:bidi="ar"/>
              </w:rPr>
            </w:pPr>
            <w:r>
              <w:rPr>
                <w:rFonts w:hint="default" w:ascii="仿宋" w:hAnsi="仿宋" w:eastAsia="仿宋" w:cs="仿宋"/>
                <w:i w:val="0"/>
                <w:iCs w:val="0"/>
                <w:caps w:val="0"/>
                <w:color w:val="000000"/>
                <w:spacing w:val="0"/>
                <w:kern w:val="0"/>
                <w:sz w:val="24"/>
                <w:szCs w:val="24"/>
                <w:highlight w:val="none"/>
                <w:u w:val="none"/>
                <w:lang w:val="en-US" w:eastAsia="zh-CN" w:bidi="ar"/>
              </w:rPr>
              <w:t>98</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vMerge w:val="continue"/>
            <w:tcBorders>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r>
              <w:rPr>
                <w:rFonts w:hint="eastAsia" w:ascii="仿宋" w:hAnsi="仿宋" w:eastAsia="仿宋" w:cs="仿宋"/>
                <w:i w:val="0"/>
                <w:iCs w:val="0"/>
                <w:caps w:val="0"/>
                <w:color w:val="000000"/>
                <w:spacing w:val="0"/>
                <w:kern w:val="0"/>
                <w:sz w:val="24"/>
                <w:szCs w:val="24"/>
                <w:highlight w:val="none"/>
                <w:u w:val="none"/>
                <w:lang w:val="en-US" w:eastAsia="zh-CN" w:bidi="ar"/>
              </w:rPr>
              <w:t>报障记录及查看处理结果</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both"/>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r>
              <w:rPr>
                <w:rFonts w:hint="eastAsia" w:ascii="仿宋" w:hAnsi="仿宋" w:eastAsia="仿宋" w:cs="仿宋"/>
                <w:i w:val="0"/>
                <w:iCs w:val="0"/>
                <w:caps w:val="0"/>
                <w:color w:val="000000"/>
                <w:spacing w:val="0"/>
                <w:kern w:val="0"/>
                <w:sz w:val="24"/>
                <w:szCs w:val="24"/>
                <w:highlight w:val="none"/>
                <w:u w:val="none"/>
                <w:lang w:val="en-US" w:eastAsia="zh-CN" w:bidi="ar"/>
              </w:rPr>
              <w:t>物业方上传处理内容后，可查看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06"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9</w:t>
            </w:r>
            <w:r>
              <w:rPr>
                <w:rFonts w:hint="default" w:ascii="仿宋" w:hAnsi="仿宋" w:eastAsia="仿宋" w:cs="仿宋"/>
                <w:i w:val="0"/>
                <w:iCs w:val="0"/>
                <w:caps w:val="0"/>
                <w:color w:val="000000"/>
                <w:spacing w:val="0"/>
                <w:sz w:val="24"/>
                <w:szCs w:val="24"/>
                <w:highlight w:val="none"/>
                <w:u w:val="none"/>
                <w:lang w:val="en-US" w:eastAsia="zh-CN"/>
              </w:rPr>
              <w:t>9</w:t>
            </w:r>
          </w:p>
        </w:tc>
        <w:tc>
          <w:tcPr>
            <w:tcW w:w="371"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738"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租户核验</w:t>
            </w:r>
          </w:p>
        </w:tc>
        <w:tc>
          <w:tcPr>
            <w:tcW w:w="897"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租户核验</w:t>
            </w:r>
          </w:p>
        </w:tc>
        <w:tc>
          <w:tcPr>
            <w:tcW w:w="224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不定期发起租户核验，用户基于定位和人脸识别完成核验</w:t>
            </w:r>
          </w:p>
        </w:tc>
      </w:tr>
    </w:tbl>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3" w:firstLineChars="200"/>
        <w:rPr>
          <w:rFonts w:hint="default" w:ascii="仿宋" w:hAnsi="仿宋" w:eastAsia="仿宋" w:cs="仿宋"/>
          <w:b/>
          <w:bCs/>
          <w:i w:val="0"/>
          <w:iCs w:val="0"/>
          <w:caps w:val="0"/>
          <w:color w:val="383838"/>
          <w:spacing w:val="0"/>
          <w:kern w:val="2"/>
          <w:sz w:val="32"/>
          <w:szCs w:val="32"/>
          <w:highlight w:val="none"/>
          <w:shd w:val="clear" w:fill="FFFFFF"/>
          <w:lang w:val="en-US" w:eastAsia="zh-CN" w:bidi="ar"/>
        </w:rPr>
      </w:pPr>
      <w:r>
        <w:rPr>
          <w:rFonts w:hint="eastAsia" w:ascii="仿宋" w:hAnsi="仿宋" w:eastAsia="仿宋" w:cs="仿宋"/>
          <w:b/>
          <w:bCs/>
          <w:i w:val="0"/>
          <w:iCs w:val="0"/>
          <w:caps w:val="0"/>
          <w:color w:val="383838"/>
          <w:spacing w:val="0"/>
          <w:kern w:val="2"/>
          <w:sz w:val="32"/>
          <w:szCs w:val="32"/>
          <w:highlight w:val="none"/>
          <w:shd w:val="clear" w:fill="FFFFFF"/>
          <w:lang w:val="en-US" w:eastAsia="zh-CN" w:bidi="ar"/>
        </w:rPr>
        <w:t>（3）</w:t>
      </w:r>
      <w:r>
        <w:rPr>
          <w:rFonts w:hint="default" w:ascii="仿宋" w:hAnsi="仿宋" w:eastAsia="仿宋" w:cs="仿宋"/>
          <w:b/>
          <w:bCs/>
          <w:i w:val="0"/>
          <w:iCs w:val="0"/>
          <w:caps w:val="0"/>
          <w:color w:val="383838"/>
          <w:spacing w:val="0"/>
          <w:kern w:val="2"/>
          <w:sz w:val="32"/>
          <w:szCs w:val="32"/>
          <w:highlight w:val="none"/>
          <w:shd w:val="clear" w:fill="FFFFFF"/>
          <w:lang w:val="en-US" w:eastAsia="zh-CN" w:bidi="ar"/>
        </w:rPr>
        <w:t>数字化业务协同管理平台</w:t>
      </w:r>
    </w:p>
    <w:p>
      <w:pPr>
        <w:keepNext w:val="0"/>
        <w:keepLines w:val="0"/>
        <w:pageBreakBefore w:val="0"/>
        <w:widowControl/>
        <w:numPr>
          <w:ilvl w:val="-1"/>
          <w:numId w:val="0"/>
        </w:numPr>
        <w:kinsoku/>
        <w:wordWrap/>
        <w:overflowPunct/>
        <w:topLinePunct w:val="0"/>
        <w:autoSpaceDE/>
        <w:autoSpaceDN/>
        <w:bidi w:val="0"/>
        <w:adjustRightInd/>
        <w:snapToGrid/>
        <w:spacing w:line="580" w:lineRule="exact"/>
        <w:ind w:firstLine="640"/>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pPr>
      <w:r>
        <w:rPr>
          <w:rFonts w:hint="default" w:ascii="仿宋" w:hAnsi="仿宋" w:eastAsia="仿宋" w:cs="仿宋"/>
          <w:b w:val="0"/>
          <w:bCs w:val="0"/>
          <w:i w:val="0"/>
          <w:iCs w:val="0"/>
          <w:caps w:val="0"/>
          <w:color w:val="383838"/>
          <w:spacing w:val="0"/>
          <w:kern w:val="2"/>
          <w:sz w:val="32"/>
          <w:szCs w:val="32"/>
          <w:highlight w:val="none"/>
          <w:shd w:val="clear" w:fill="FFFFFF"/>
          <w:lang w:val="en-US" w:eastAsia="zh-CN" w:bidi="ar"/>
        </w:rPr>
        <w:t>聚焦政务管理需求，与政府部门审批系统对接，实现房源数据推送、证照查询、信息共享、资格审查、合同签订等流程协助，实现在一个平台上一网通办、跨城通办，提高住房统一管理效率。</w:t>
      </w:r>
    </w:p>
    <w:tbl>
      <w:tblPr>
        <w:tblStyle w:val="9"/>
        <w:tblW w:w="83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18"/>
        <w:gridCol w:w="751"/>
        <w:gridCol w:w="901"/>
        <w:gridCol w:w="1496"/>
        <w:gridCol w:w="45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序号</w:t>
            </w:r>
          </w:p>
        </w:tc>
        <w:tc>
          <w:tcPr>
            <w:tcW w:w="45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系统</w:t>
            </w:r>
          </w:p>
        </w:tc>
        <w:tc>
          <w:tcPr>
            <w:tcW w:w="54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模块</w:t>
            </w:r>
          </w:p>
        </w:tc>
        <w:tc>
          <w:tcPr>
            <w:tcW w:w="90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一级功能</w:t>
            </w:r>
          </w:p>
        </w:tc>
        <w:tc>
          <w:tcPr>
            <w:tcW w:w="273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b/>
                <w:bCs/>
                <w:i w:val="0"/>
                <w:iCs w:val="0"/>
                <w:caps w:val="0"/>
                <w:color w:val="000000"/>
                <w:spacing w:val="0"/>
                <w:sz w:val="24"/>
                <w:szCs w:val="24"/>
                <w:highlight w:val="none"/>
                <w:u w:val="none"/>
              </w:rPr>
            </w:pPr>
            <w:r>
              <w:rPr>
                <w:rFonts w:hint="eastAsia" w:ascii="仿宋" w:hAnsi="仿宋" w:eastAsia="仿宋" w:cs="仿宋"/>
                <w:b/>
                <w:bCs/>
                <w:i w:val="0"/>
                <w:iCs w:val="0"/>
                <w:caps w:val="0"/>
                <w:color w:val="000000"/>
                <w:spacing w:val="0"/>
                <w:kern w:val="0"/>
                <w:sz w:val="24"/>
                <w:szCs w:val="24"/>
                <w:highlight w:val="none"/>
                <w:u w:val="none"/>
                <w:lang w:val="en-US" w:eastAsia="zh-CN" w:bidi="ar"/>
              </w:rPr>
              <w:t>功能描述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99</w:t>
            </w:r>
          </w:p>
        </w:tc>
        <w:tc>
          <w:tcPr>
            <w:tcW w:w="45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r>
              <w:rPr>
                <w:rFonts w:hint="eastAsia" w:ascii="仿宋" w:hAnsi="仿宋" w:eastAsia="仿宋" w:cs="仿宋"/>
                <w:i w:val="0"/>
                <w:iCs w:val="0"/>
                <w:caps w:val="0"/>
                <w:color w:val="000000"/>
                <w:spacing w:val="0"/>
                <w:kern w:val="0"/>
                <w:sz w:val="24"/>
                <w:szCs w:val="24"/>
                <w:highlight w:val="none"/>
                <w:u w:val="none"/>
                <w:lang w:val="en-US" w:eastAsia="zh-CN" w:bidi="ar"/>
              </w:rPr>
              <w:t>数字化业务协同管理平台</w:t>
            </w: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kern w:val="0"/>
                <w:sz w:val="24"/>
                <w:szCs w:val="24"/>
                <w:highlight w:val="none"/>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580" w:lineRule="exact"/>
              <w:jc w:val="both"/>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数字化业务协同管理平台</w:t>
            </w:r>
          </w:p>
        </w:tc>
        <w:tc>
          <w:tcPr>
            <w:tcW w:w="54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计划管理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计划同步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将相关单位项目计划与政府部门系统对接同步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100</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计划变更</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将相关单位项目计划变更信息与政府部门系统对接同步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101</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项目申报</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项目申报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将相关单位项目申报信息与政府部门系统对接同步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102</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进度管理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进度同步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将相关单位项目进度信息与政府部门系统对接同步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103</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项目管理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基础信息同步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将相关单位项目基础信息与政府部门系统对接同步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104</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变更信息同步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将相关单位项目变更信息与政府部门系统对接同步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105</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房源数据管理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安居购房房源数据同步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将相关单位安居购房房源数据与政府部门系统对接同步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106</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公租房房源数据同步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将相关单位公租房房源数据同步与政府部门系统对接同步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107</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保租房房源数据同步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将相关单位保租房房源数据与政府部门系统对接同步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108</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资格管理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购房资格查询核验</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政府部门系统对接同步，实现对购房人保障性住房购房资格核验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109</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租房资格查询核验</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政府部门系统对接同步，实现对购房人保障性住房租赁资格核验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110</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租房分配查询核验</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政府部门系统对接同步，实现对购房人保障性住房租赁分配房源查询核验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111</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人才资格查询核验</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政府部门系统对接同步，实现对购房人人才资格查询核验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112</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restart"/>
            <w:tcBorders>
              <w:top w:val="nil"/>
              <w:left w:val="single" w:color="auto" w:sz="4" w:space="0"/>
              <w:bottom w:val="nil"/>
              <w:right w:val="single" w:color="auto"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申请进度管理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公租房申请进度查询</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政府部门系统对接同步，实现用户查询公租房申请进度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113</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nil"/>
              <w:left w:val="single" w:color="auto" w:sz="4" w:space="0"/>
              <w:bottom w:val="nil"/>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保租房申请进度查询</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政府部门系统对接同步，实现用户查询保租房申请进度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114</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nil"/>
              <w:left w:val="single" w:color="auto" w:sz="4" w:space="0"/>
              <w:bottom w:val="nil"/>
              <w:right w:val="single" w:color="auto"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资格申请进度查询</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政府部门系统对接同步，实现购房人查询资格申请进度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eastAsia="zh-CN"/>
              </w:rPr>
            </w:pPr>
            <w:r>
              <w:rPr>
                <w:rFonts w:hint="eastAsia" w:ascii="仿宋" w:hAnsi="仿宋" w:eastAsia="仿宋" w:cs="仿宋"/>
                <w:i w:val="0"/>
                <w:iCs w:val="0"/>
                <w:caps w:val="0"/>
                <w:color w:val="000000"/>
                <w:spacing w:val="0"/>
                <w:sz w:val="24"/>
                <w:szCs w:val="24"/>
                <w:highlight w:val="none"/>
                <w:u w:val="none"/>
                <w:lang w:val="en-US" w:eastAsia="zh-CN"/>
              </w:rPr>
              <w:t>115</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合同管理</w:t>
            </w: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购房合同同步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将相关单位保障性住房购房合同同步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atLeast"/>
        </w:trPr>
        <w:tc>
          <w:tcPr>
            <w:tcW w:w="37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center"/>
              <w:rPr>
                <w:rFonts w:hint="default" w:ascii="仿宋" w:hAnsi="仿宋" w:eastAsia="仿宋" w:cs="仿宋"/>
                <w:i w:val="0"/>
                <w:iCs w:val="0"/>
                <w:caps w:val="0"/>
                <w:color w:val="000000"/>
                <w:spacing w:val="0"/>
                <w:sz w:val="24"/>
                <w:szCs w:val="24"/>
                <w:highlight w:val="none"/>
                <w:u w:val="none"/>
                <w:lang w:val="en-US"/>
              </w:rPr>
            </w:pPr>
            <w:r>
              <w:rPr>
                <w:rFonts w:hint="eastAsia" w:ascii="仿宋" w:hAnsi="仿宋" w:eastAsia="仿宋" w:cs="仿宋"/>
                <w:i w:val="0"/>
                <w:iCs w:val="0"/>
                <w:caps w:val="0"/>
                <w:color w:val="000000"/>
                <w:spacing w:val="0"/>
                <w:kern w:val="0"/>
                <w:sz w:val="24"/>
                <w:szCs w:val="24"/>
                <w:highlight w:val="none"/>
                <w:u w:val="none"/>
                <w:lang w:val="en-US" w:eastAsia="zh-CN" w:bidi="ar"/>
              </w:rPr>
              <w:t>116</w:t>
            </w:r>
          </w:p>
        </w:tc>
        <w:tc>
          <w:tcPr>
            <w:tcW w:w="45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54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kinsoku/>
              <w:wordWrap/>
              <w:overflowPunct/>
              <w:topLinePunct w:val="0"/>
              <w:autoSpaceDE/>
              <w:autoSpaceDN/>
              <w:bidi w:val="0"/>
              <w:adjustRightInd/>
              <w:snapToGrid/>
              <w:spacing w:line="580" w:lineRule="exact"/>
              <w:jc w:val="center"/>
              <w:rPr>
                <w:rFonts w:hint="eastAsia" w:ascii="仿宋" w:hAnsi="仿宋" w:eastAsia="仿宋" w:cs="仿宋"/>
                <w:i w:val="0"/>
                <w:iCs w:val="0"/>
                <w:caps w:val="0"/>
                <w:color w:val="000000"/>
                <w:spacing w:val="0"/>
                <w:sz w:val="24"/>
                <w:szCs w:val="24"/>
                <w:highlight w:val="none"/>
                <w:u w:val="none"/>
              </w:rPr>
            </w:pPr>
          </w:p>
        </w:tc>
        <w:tc>
          <w:tcPr>
            <w:tcW w:w="900"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租赁合同同步</w:t>
            </w:r>
          </w:p>
        </w:tc>
        <w:tc>
          <w:tcPr>
            <w:tcW w:w="273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80" w:lineRule="exact"/>
              <w:jc w:val="left"/>
              <w:textAlignment w:val="center"/>
              <w:rPr>
                <w:rFonts w:hint="eastAsia" w:ascii="仿宋" w:hAnsi="仿宋" w:eastAsia="仿宋" w:cs="仿宋"/>
                <w:i w:val="0"/>
                <w:iCs w:val="0"/>
                <w:caps w:val="0"/>
                <w:color w:val="000000"/>
                <w:spacing w:val="0"/>
                <w:sz w:val="24"/>
                <w:szCs w:val="24"/>
                <w:highlight w:val="none"/>
                <w:u w:val="none"/>
              </w:rPr>
            </w:pPr>
            <w:r>
              <w:rPr>
                <w:rFonts w:hint="eastAsia" w:ascii="仿宋" w:hAnsi="仿宋" w:eastAsia="仿宋" w:cs="仿宋"/>
                <w:i w:val="0"/>
                <w:iCs w:val="0"/>
                <w:caps w:val="0"/>
                <w:color w:val="000000"/>
                <w:spacing w:val="0"/>
                <w:kern w:val="0"/>
                <w:sz w:val="24"/>
                <w:szCs w:val="24"/>
                <w:highlight w:val="none"/>
                <w:u w:val="none"/>
                <w:lang w:val="en-US" w:eastAsia="zh-CN" w:bidi="ar"/>
              </w:rPr>
              <w:t>将相关单位公租房、保租房租赁合同同步</w:t>
            </w:r>
          </w:p>
        </w:tc>
      </w:tr>
    </w:tbl>
    <w:p>
      <w:pPr>
        <w:pStyle w:val="3"/>
        <w:keepNext w:val="0"/>
        <w:keepLines w:val="0"/>
        <w:pageBreakBefore w:val="0"/>
        <w:kinsoku/>
        <w:wordWrap/>
        <w:overflowPunct/>
        <w:topLinePunct w:val="0"/>
        <w:autoSpaceDE/>
        <w:autoSpaceDN/>
        <w:bidi w:val="0"/>
        <w:adjustRightInd/>
        <w:snapToGrid/>
        <w:spacing w:line="580" w:lineRule="exact"/>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p>
    <w:p>
      <w:pPr>
        <w:keepNext w:val="0"/>
        <w:keepLines w:val="0"/>
        <w:pageBreakBefore w:val="0"/>
        <w:kinsoku/>
        <w:wordWrap/>
        <w:overflowPunct/>
        <w:topLinePunct w:val="0"/>
        <w:autoSpaceDE/>
        <w:autoSpaceDN/>
        <w:bidi w:val="0"/>
        <w:adjustRightInd/>
        <w:snapToGrid/>
        <w:spacing w:line="580" w:lineRule="exact"/>
        <w:rPr>
          <w:rFonts w:hint="eastAsia"/>
          <w:highlight w:val="no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3、云平台部署需求：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highlight w:val="none"/>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提供该项目在</w:t>
      </w:r>
      <w:r>
        <w:rPr>
          <w:rFonts w:hint="default" w:ascii="仿宋" w:hAnsi="仿宋" w:eastAsia="仿宋" w:cs="仿宋"/>
          <w:i w:val="0"/>
          <w:iCs w:val="0"/>
          <w:caps w:val="0"/>
          <w:color w:val="383838"/>
          <w:spacing w:val="0"/>
          <w:sz w:val="32"/>
          <w:szCs w:val="32"/>
          <w:highlight w:val="none"/>
          <w:shd w:val="clear" w:fill="FFFFFF"/>
          <w:vertAlign w:val="baseline"/>
          <w:lang w:eastAsia="zh-CN"/>
        </w:rPr>
        <w:t>海南省</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国资云平台</w:t>
      </w:r>
      <w:r>
        <w:rPr>
          <w:rFonts w:hint="eastAsia" w:ascii="仿宋" w:hAnsi="仿宋" w:eastAsia="仿宋" w:cs="仿宋"/>
          <w:i w:val="0"/>
          <w:iCs w:val="0"/>
          <w:caps w:val="0"/>
          <w:color w:val="383838"/>
          <w:spacing w:val="0"/>
          <w:sz w:val="32"/>
          <w:szCs w:val="32"/>
          <w:highlight w:val="none"/>
          <w:shd w:val="clear" w:fill="FFFFFF"/>
          <w:vertAlign w:val="baseline"/>
          <w:lang w:eastAsia="zh-CN"/>
        </w:rPr>
        <w:t>、</w:t>
      </w:r>
      <w:r>
        <w:rPr>
          <w:rFonts w:hint="default" w:ascii="仿宋" w:hAnsi="仿宋" w:eastAsia="仿宋" w:cs="仿宋"/>
          <w:i w:val="0"/>
          <w:iCs w:val="0"/>
          <w:caps w:val="0"/>
          <w:color w:val="383838"/>
          <w:spacing w:val="0"/>
          <w:sz w:val="32"/>
          <w:szCs w:val="32"/>
          <w:highlight w:val="none"/>
          <w:shd w:val="clear" w:fill="FFFFFF"/>
          <w:vertAlign w:val="baseline"/>
          <w:lang w:eastAsia="zh-CN"/>
        </w:rPr>
        <w:t>海南省政务云</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或者其他省属云平台上的部署服务，协助业主申请</w:t>
      </w:r>
      <w:r>
        <w:rPr>
          <w:rFonts w:hint="default" w:ascii="仿宋" w:hAnsi="仿宋" w:eastAsia="仿宋" w:cs="仿宋"/>
          <w:i w:val="0"/>
          <w:iCs w:val="0"/>
          <w:caps w:val="0"/>
          <w:color w:val="383838"/>
          <w:spacing w:val="0"/>
          <w:sz w:val="32"/>
          <w:szCs w:val="32"/>
          <w:highlight w:val="none"/>
          <w:shd w:val="clear" w:fill="FFFFFF"/>
          <w:vertAlign w:val="baseline"/>
          <w:lang w:eastAsia="zh-CN"/>
        </w:rPr>
        <w:t>海南省</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国资云平台、</w:t>
      </w:r>
      <w:r>
        <w:rPr>
          <w:rFonts w:hint="default" w:ascii="仿宋" w:hAnsi="仿宋" w:eastAsia="仿宋" w:cs="仿宋"/>
          <w:i w:val="0"/>
          <w:iCs w:val="0"/>
          <w:caps w:val="0"/>
          <w:color w:val="383838"/>
          <w:spacing w:val="0"/>
          <w:sz w:val="32"/>
          <w:szCs w:val="32"/>
          <w:highlight w:val="none"/>
          <w:shd w:val="clear" w:fill="FFFFFF"/>
          <w:vertAlign w:val="baseline"/>
          <w:lang w:eastAsia="zh-CN"/>
        </w:rPr>
        <w:t>海南省政务云</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或其他省属云平台资源及后续扩容评估，云资源需求详细配置参数需求待研究开发过程中明确。</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楷体" w:hAnsi="楷体" w:eastAsia="楷体" w:cs="楷体"/>
          <w:i w:val="0"/>
          <w:iCs w:val="0"/>
          <w:caps w:val="0"/>
          <w:color w:val="383838"/>
          <w:spacing w:val="0"/>
          <w:sz w:val="32"/>
          <w:szCs w:val="32"/>
          <w:highlight w:val="none"/>
          <w:shd w:val="clear" w:fill="FFFFFF"/>
          <w:vertAlign w:val="baseline"/>
          <w:lang w:val="en-US" w:eastAsia="zh-CN"/>
        </w:rPr>
        <w:t>（四）项目实施要求：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1.总体要求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研发承接单位应结合自身的项目管理制度和经验，根据本项目的实际情况，在整个项目实施过程中各个控制阶段提出针对性地管理方法。以下内容主要是对项目实施过程的通用要求。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（1）研发承接单位应在海南金城要求的工期内完成所有规定的系统建设任务。</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（2）海南金城有权对整个项目实施的全过程进行监督检查，研发承接单位必须给予积极支持和配合，不得以任何理由回避海南金城的监督检查。</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（3）研发承接单位必须建立完善的项目管理机制，以保证项目建设能按期进行。</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2.项目进度要求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承接单位应在签订合同后15个工作日内提交详细的《项目实施计划》，合同签订后6个月内完成项目建设。信息系统部署上线并完成项目初步验收后，经过1个月试运行，无重大缺陷，项目竣工验收后进入正式运维服务周期。</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3.项目管理要求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承接单位应合理成立本项目的实施团队，确保有效人力和物力的投入。项目实施团队应由项目经理、系统分析和设计、数据库设计、程序设计开发、质量控制管理、信息安全设计开发、信用管理、系统集成和应用集成等方面人员组成。项目经理必须全程负责本项目工作，不得无故更换，项目团队主要成员应保证在项目验收前不得随意变动，如确需变动，须征得海南金城同意，并调配相当人员进入项目团队。</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参与此项目的核心技术人员必须具有承担过相关软件开发和相关项目建设经验，能够与用户进行良好的沟通，具有信用信息系统建设经验，具备相关产品集成、应用和开发的能力。参与此项目的技术人员必须具有强烈的服务意识和高度的责任感，为保证交付质量和进度要求项目团队不少于5 人，本地实施人员不少于 3 人。</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4.培训要求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为系统相关的业务管理人员、系统技术人员和系统操作人员提供所需要的操作类、技术类、管理类、操作类的培训，让用户能更好地使用</w:t>
      </w:r>
      <w:r>
        <w:rPr>
          <w:rFonts w:hint="eastAsia" w:ascii="仿宋" w:hAnsi="仿宋" w:eastAsia="仿宋" w:cs="仿宋"/>
          <w:i w:val="0"/>
          <w:iCs w:val="0"/>
          <w:caps w:val="0"/>
          <w:color w:val="383838"/>
          <w:spacing w:val="0"/>
          <w:sz w:val="32"/>
          <w:szCs w:val="32"/>
          <w:highlight w:val="none"/>
          <w:shd w:val="clear" w:fill="FFFFFF"/>
          <w:vertAlign w:val="baseline"/>
        </w:rPr>
        <w:t>海南省金城安居投资集团有限公司数字化运营综合平台研究项目</w:t>
      </w: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5.质量保证和售后服务要求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（1）运维服务：自项目验收通过之日起算，运维服务 2 年。技术支持与售后服务的目标是保障系统始终在良好的状态下运行，尽量及时发现和消除故障隐患，在系统发生问题时，能以最快的速度得到修复，让用户满意。中标研发承接单位有一定的政务服务类项目建设、实施、服务经验，有一定的 IT 服务、信息技术服务、信息安全管理能力。在维护期内，应协助海南金城完成软件平台运维管理、技术支持等工作，提供电话服务、远程服务、现场服务，并提供5*8 小时服务热线，一般故障排除时间不超过 1 小时，重大故障排除不超过 4 小时，提供的技术服务包括：技术咨询、技术资源、技术说明书、使用说明书、维护说明书等。</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（2）成交人的其它售后服务承诺属于合同的一部分，如果有不同约定的，以服务水平和层级更高的为准。</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6.保密和知识产权要求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研发承接单位须在与海南金城签订安全保密协议后，方可开展项目建设工作。研发承接单位必须保证项目相关技术和数据的秘密，未经海南金城许可，研发承接单位不得转存或拷贝平台数据，不得披露平台相关技术和信息。</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7.知识产权要求</w:t>
      </w:r>
    </w:p>
    <w:p>
      <w:pPr>
        <w:keepNext w:val="0"/>
        <w:keepLines w:val="0"/>
        <w:pageBreakBefore w:val="0"/>
        <w:kinsoku/>
        <w:wordWrap/>
        <w:overflowPunct/>
        <w:topLinePunct w:val="0"/>
        <w:autoSpaceDE/>
        <w:autoSpaceDN/>
        <w:bidi w:val="0"/>
        <w:adjustRightInd/>
        <w:snapToGrid/>
        <w:spacing w:line="580" w:lineRule="exact"/>
        <w:ind w:firstLine="640" w:firstLineChars="200"/>
        <w:rPr>
          <w:rFonts w:hint="eastAsia" w:ascii="仿宋" w:hAnsi="仿宋" w:eastAsia="仿宋" w:cs="仿宋"/>
          <w:i w:val="0"/>
          <w:iCs w:val="0"/>
          <w:caps w:val="0"/>
          <w:color w:val="383838"/>
          <w:spacing w:val="0"/>
          <w:sz w:val="32"/>
          <w:szCs w:val="32"/>
          <w:highlight w:val="none"/>
          <w:shd w:val="clear" w:fill="FFFFFF"/>
          <w:vertAlign w:val="baseline"/>
          <w:lang w:val="en-US" w:eastAsia="zh-CN"/>
        </w:rPr>
      </w:pPr>
      <w:r>
        <w:rPr>
          <w:rFonts w:hint="eastAsia" w:ascii="仿宋" w:hAnsi="仿宋" w:eastAsia="仿宋" w:cs="仿宋"/>
          <w:i w:val="0"/>
          <w:iCs w:val="0"/>
          <w:caps w:val="0"/>
          <w:color w:val="383838"/>
          <w:spacing w:val="0"/>
          <w:sz w:val="32"/>
          <w:szCs w:val="32"/>
          <w:highlight w:val="none"/>
          <w:shd w:val="clear" w:fill="FFFFFF"/>
          <w:vertAlign w:val="baseline"/>
          <w:lang w:val="en-US" w:eastAsia="zh-CN"/>
        </w:rPr>
        <w:t>本项目知识产权由海南金城所有。</w:t>
      </w:r>
    </w:p>
    <w:p>
      <w:pPr>
        <w:rPr>
          <w:rFonts w:hint="eastAsia"/>
          <w:lang w:val="en-US" w:eastAsia="zh-CN"/>
        </w:rPr>
      </w:pPr>
    </w:p>
    <w:p>
      <w:pPr>
        <w:rPr>
          <w:rFonts w:hint="default"/>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小标宋">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290543"/>
    <w:multiLevelType w:val="singleLevel"/>
    <w:tmpl w:val="C3290543"/>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jNzVhODBiZjFlZTdjMDExNmJiZmMyOTE5N2YyZTQifQ=="/>
  </w:docVars>
  <w:rsids>
    <w:rsidRoot w:val="00000000"/>
    <w:rsid w:val="000A3AFC"/>
    <w:rsid w:val="0028103C"/>
    <w:rsid w:val="004B158A"/>
    <w:rsid w:val="0083051C"/>
    <w:rsid w:val="00B610D5"/>
    <w:rsid w:val="01384513"/>
    <w:rsid w:val="01AF4E07"/>
    <w:rsid w:val="01B95631"/>
    <w:rsid w:val="01D742F1"/>
    <w:rsid w:val="020D38A0"/>
    <w:rsid w:val="031955A8"/>
    <w:rsid w:val="041E5459"/>
    <w:rsid w:val="062118B6"/>
    <w:rsid w:val="06534BC3"/>
    <w:rsid w:val="06EF0B35"/>
    <w:rsid w:val="07513E37"/>
    <w:rsid w:val="07524F93"/>
    <w:rsid w:val="07652545"/>
    <w:rsid w:val="07877BFC"/>
    <w:rsid w:val="079F7B4C"/>
    <w:rsid w:val="08541037"/>
    <w:rsid w:val="086A1FB2"/>
    <w:rsid w:val="08A5188F"/>
    <w:rsid w:val="090F6709"/>
    <w:rsid w:val="09A724F0"/>
    <w:rsid w:val="0A45044C"/>
    <w:rsid w:val="0A517E30"/>
    <w:rsid w:val="0B202A11"/>
    <w:rsid w:val="0B4300F6"/>
    <w:rsid w:val="0B6562F7"/>
    <w:rsid w:val="0BA80AE1"/>
    <w:rsid w:val="0C272346"/>
    <w:rsid w:val="0C635270"/>
    <w:rsid w:val="0D441147"/>
    <w:rsid w:val="0DC3083B"/>
    <w:rsid w:val="0DD45040"/>
    <w:rsid w:val="0DF40F92"/>
    <w:rsid w:val="0E197B6B"/>
    <w:rsid w:val="0E673B63"/>
    <w:rsid w:val="0E9F4117"/>
    <w:rsid w:val="0EC06B0B"/>
    <w:rsid w:val="0F1350E8"/>
    <w:rsid w:val="0F6205D4"/>
    <w:rsid w:val="0FBE663E"/>
    <w:rsid w:val="0FD91EF8"/>
    <w:rsid w:val="106550BE"/>
    <w:rsid w:val="11206339"/>
    <w:rsid w:val="11B718BA"/>
    <w:rsid w:val="12077D74"/>
    <w:rsid w:val="12543DC6"/>
    <w:rsid w:val="12631F4C"/>
    <w:rsid w:val="126526E0"/>
    <w:rsid w:val="12734F6D"/>
    <w:rsid w:val="127E60E3"/>
    <w:rsid w:val="136D70BB"/>
    <w:rsid w:val="13EA00CD"/>
    <w:rsid w:val="13F30346"/>
    <w:rsid w:val="145752F2"/>
    <w:rsid w:val="14FD75D8"/>
    <w:rsid w:val="15CF4882"/>
    <w:rsid w:val="15FD58AA"/>
    <w:rsid w:val="164369A7"/>
    <w:rsid w:val="16C4437B"/>
    <w:rsid w:val="17D57D43"/>
    <w:rsid w:val="1862610F"/>
    <w:rsid w:val="18673700"/>
    <w:rsid w:val="18805079"/>
    <w:rsid w:val="197F3F6D"/>
    <w:rsid w:val="19967F4D"/>
    <w:rsid w:val="1A163DAA"/>
    <w:rsid w:val="1A884DCC"/>
    <w:rsid w:val="1AE21776"/>
    <w:rsid w:val="1AE719AF"/>
    <w:rsid w:val="1AFC6A9A"/>
    <w:rsid w:val="1B134061"/>
    <w:rsid w:val="1B2204B6"/>
    <w:rsid w:val="1B2E187C"/>
    <w:rsid w:val="1B61403F"/>
    <w:rsid w:val="1B6A3B3B"/>
    <w:rsid w:val="1BE743CB"/>
    <w:rsid w:val="1C642F17"/>
    <w:rsid w:val="1C930E63"/>
    <w:rsid w:val="1C9A3AD9"/>
    <w:rsid w:val="1E5B5458"/>
    <w:rsid w:val="1E610ECD"/>
    <w:rsid w:val="1EE22E83"/>
    <w:rsid w:val="1EFD734A"/>
    <w:rsid w:val="1F843502"/>
    <w:rsid w:val="1FA416D9"/>
    <w:rsid w:val="1FEB0705"/>
    <w:rsid w:val="204723D8"/>
    <w:rsid w:val="205F6D6E"/>
    <w:rsid w:val="20903825"/>
    <w:rsid w:val="20BE0355"/>
    <w:rsid w:val="20C04556"/>
    <w:rsid w:val="20EC26B7"/>
    <w:rsid w:val="20FB2CB5"/>
    <w:rsid w:val="210E1699"/>
    <w:rsid w:val="211D07A7"/>
    <w:rsid w:val="217355DC"/>
    <w:rsid w:val="21D40CE1"/>
    <w:rsid w:val="21E76028"/>
    <w:rsid w:val="22513B6F"/>
    <w:rsid w:val="231C3D30"/>
    <w:rsid w:val="2326033C"/>
    <w:rsid w:val="234B7414"/>
    <w:rsid w:val="237A4E4B"/>
    <w:rsid w:val="23C3779B"/>
    <w:rsid w:val="241F07A4"/>
    <w:rsid w:val="24C72A00"/>
    <w:rsid w:val="24E61F2F"/>
    <w:rsid w:val="24F57FCA"/>
    <w:rsid w:val="256C5606"/>
    <w:rsid w:val="26544B0B"/>
    <w:rsid w:val="266C492B"/>
    <w:rsid w:val="267C2BD7"/>
    <w:rsid w:val="26D440A2"/>
    <w:rsid w:val="26FC2F1A"/>
    <w:rsid w:val="275332EB"/>
    <w:rsid w:val="2810247A"/>
    <w:rsid w:val="285160EE"/>
    <w:rsid w:val="29A75C39"/>
    <w:rsid w:val="29F04C94"/>
    <w:rsid w:val="2A0F0127"/>
    <w:rsid w:val="2A1A5591"/>
    <w:rsid w:val="2A827A55"/>
    <w:rsid w:val="2AB64DE3"/>
    <w:rsid w:val="2B5B207F"/>
    <w:rsid w:val="2BA733D2"/>
    <w:rsid w:val="2D9A7C23"/>
    <w:rsid w:val="2DC223FA"/>
    <w:rsid w:val="2DD90E52"/>
    <w:rsid w:val="2ED475D9"/>
    <w:rsid w:val="2FCB3C7C"/>
    <w:rsid w:val="2FCD175C"/>
    <w:rsid w:val="2FD60ACB"/>
    <w:rsid w:val="3053472F"/>
    <w:rsid w:val="310061F7"/>
    <w:rsid w:val="318E7872"/>
    <w:rsid w:val="31C91DB6"/>
    <w:rsid w:val="31E70195"/>
    <w:rsid w:val="32A74E97"/>
    <w:rsid w:val="33121C51"/>
    <w:rsid w:val="33815CAE"/>
    <w:rsid w:val="346A4BE4"/>
    <w:rsid w:val="346D717B"/>
    <w:rsid w:val="349C2F50"/>
    <w:rsid w:val="34B03CDE"/>
    <w:rsid w:val="3504277C"/>
    <w:rsid w:val="35BB28FF"/>
    <w:rsid w:val="361C3EBD"/>
    <w:rsid w:val="36843882"/>
    <w:rsid w:val="368E1A09"/>
    <w:rsid w:val="36994E33"/>
    <w:rsid w:val="36CD0E16"/>
    <w:rsid w:val="37525204"/>
    <w:rsid w:val="37FE2ED5"/>
    <w:rsid w:val="38945BD2"/>
    <w:rsid w:val="38D83F4A"/>
    <w:rsid w:val="390E4206"/>
    <w:rsid w:val="3946772E"/>
    <w:rsid w:val="39784CF4"/>
    <w:rsid w:val="3A0E0188"/>
    <w:rsid w:val="3A785188"/>
    <w:rsid w:val="3C655877"/>
    <w:rsid w:val="3C6D73A0"/>
    <w:rsid w:val="3D1D1294"/>
    <w:rsid w:val="3D575BB5"/>
    <w:rsid w:val="3D665126"/>
    <w:rsid w:val="3DD76289"/>
    <w:rsid w:val="3EA66471"/>
    <w:rsid w:val="3EE32ABF"/>
    <w:rsid w:val="3FA97B44"/>
    <w:rsid w:val="3FBB65C8"/>
    <w:rsid w:val="40340662"/>
    <w:rsid w:val="405F2D73"/>
    <w:rsid w:val="40887BC2"/>
    <w:rsid w:val="40CE29FE"/>
    <w:rsid w:val="40D0488A"/>
    <w:rsid w:val="414F2E62"/>
    <w:rsid w:val="41A936D3"/>
    <w:rsid w:val="41D15588"/>
    <w:rsid w:val="42135EC8"/>
    <w:rsid w:val="428E4391"/>
    <w:rsid w:val="42CE53D3"/>
    <w:rsid w:val="4329203E"/>
    <w:rsid w:val="434974A5"/>
    <w:rsid w:val="43EE5995"/>
    <w:rsid w:val="445611C3"/>
    <w:rsid w:val="448723C9"/>
    <w:rsid w:val="44AF36F9"/>
    <w:rsid w:val="44B32C3E"/>
    <w:rsid w:val="450304AE"/>
    <w:rsid w:val="45237BB1"/>
    <w:rsid w:val="45876D31"/>
    <w:rsid w:val="45CC519A"/>
    <w:rsid w:val="45F30E56"/>
    <w:rsid w:val="46B5302E"/>
    <w:rsid w:val="46F41F22"/>
    <w:rsid w:val="472A5406"/>
    <w:rsid w:val="473F2E81"/>
    <w:rsid w:val="478A7875"/>
    <w:rsid w:val="47FB2E9E"/>
    <w:rsid w:val="48361194"/>
    <w:rsid w:val="494E2A79"/>
    <w:rsid w:val="49882263"/>
    <w:rsid w:val="499C5FD2"/>
    <w:rsid w:val="49CC2164"/>
    <w:rsid w:val="4A066F37"/>
    <w:rsid w:val="4A0B4C46"/>
    <w:rsid w:val="4A2C3B8F"/>
    <w:rsid w:val="4A7A3FCA"/>
    <w:rsid w:val="4BEB3BEA"/>
    <w:rsid w:val="4CA54EC1"/>
    <w:rsid w:val="4CB04E89"/>
    <w:rsid w:val="4D5A4627"/>
    <w:rsid w:val="4DCC3611"/>
    <w:rsid w:val="4E4C1324"/>
    <w:rsid w:val="4E4C4B63"/>
    <w:rsid w:val="4E577236"/>
    <w:rsid w:val="4EB227B3"/>
    <w:rsid w:val="4F274454"/>
    <w:rsid w:val="4F570806"/>
    <w:rsid w:val="4FBA1D96"/>
    <w:rsid w:val="4FC65F6D"/>
    <w:rsid w:val="501D13E9"/>
    <w:rsid w:val="509D064D"/>
    <w:rsid w:val="50C079BD"/>
    <w:rsid w:val="50E2767E"/>
    <w:rsid w:val="50F914E2"/>
    <w:rsid w:val="51322B94"/>
    <w:rsid w:val="513C5AB1"/>
    <w:rsid w:val="51744A4A"/>
    <w:rsid w:val="521E56F2"/>
    <w:rsid w:val="5262032B"/>
    <w:rsid w:val="528606A5"/>
    <w:rsid w:val="52DD6135"/>
    <w:rsid w:val="535514F0"/>
    <w:rsid w:val="538A0BF8"/>
    <w:rsid w:val="53E51C02"/>
    <w:rsid w:val="542B617E"/>
    <w:rsid w:val="54356172"/>
    <w:rsid w:val="543F6351"/>
    <w:rsid w:val="546A0019"/>
    <w:rsid w:val="54A22336"/>
    <w:rsid w:val="54A5724B"/>
    <w:rsid w:val="54CC782B"/>
    <w:rsid w:val="54E82A77"/>
    <w:rsid w:val="55D84FEE"/>
    <w:rsid w:val="562B397E"/>
    <w:rsid w:val="56A90D3E"/>
    <w:rsid w:val="56C12F98"/>
    <w:rsid w:val="5742794C"/>
    <w:rsid w:val="57972577"/>
    <w:rsid w:val="57D937E6"/>
    <w:rsid w:val="58276B45"/>
    <w:rsid w:val="58F9436C"/>
    <w:rsid w:val="590F2274"/>
    <w:rsid w:val="5970790C"/>
    <w:rsid w:val="59B924A3"/>
    <w:rsid w:val="59D46859"/>
    <w:rsid w:val="59F13FFB"/>
    <w:rsid w:val="5AEB54D4"/>
    <w:rsid w:val="5B3B3CB8"/>
    <w:rsid w:val="5B6F043E"/>
    <w:rsid w:val="5BAF6AEF"/>
    <w:rsid w:val="5BDA26F0"/>
    <w:rsid w:val="5C2E2CD7"/>
    <w:rsid w:val="5C583B7E"/>
    <w:rsid w:val="5D2873A9"/>
    <w:rsid w:val="5D836C49"/>
    <w:rsid w:val="5E2F724F"/>
    <w:rsid w:val="5E302D2C"/>
    <w:rsid w:val="5EA40463"/>
    <w:rsid w:val="5EB7556A"/>
    <w:rsid w:val="5EE1082B"/>
    <w:rsid w:val="6049506E"/>
    <w:rsid w:val="60570B09"/>
    <w:rsid w:val="606064EB"/>
    <w:rsid w:val="61CE4D62"/>
    <w:rsid w:val="6267157C"/>
    <w:rsid w:val="62873383"/>
    <w:rsid w:val="62E34752"/>
    <w:rsid w:val="63532C7C"/>
    <w:rsid w:val="63D44C7E"/>
    <w:rsid w:val="640479AF"/>
    <w:rsid w:val="643E69B9"/>
    <w:rsid w:val="65C456BA"/>
    <w:rsid w:val="65CA5529"/>
    <w:rsid w:val="65EC11D3"/>
    <w:rsid w:val="67085BCD"/>
    <w:rsid w:val="67890C82"/>
    <w:rsid w:val="67A37B54"/>
    <w:rsid w:val="67B06E0D"/>
    <w:rsid w:val="67C50F4D"/>
    <w:rsid w:val="68095F12"/>
    <w:rsid w:val="680E53F3"/>
    <w:rsid w:val="686920E5"/>
    <w:rsid w:val="68747BBD"/>
    <w:rsid w:val="690C7AEC"/>
    <w:rsid w:val="69502764"/>
    <w:rsid w:val="699D72D1"/>
    <w:rsid w:val="69D7367D"/>
    <w:rsid w:val="6A2A7C2D"/>
    <w:rsid w:val="6A88784E"/>
    <w:rsid w:val="6AD440AE"/>
    <w:rsid w:val="6B210ED0"/>
    <w:rsid w:val="6B3F00C4"/>
    <w:rsid w:val="6BD94AE0"/>
    <w:rsid w:val="6C0A1547"/>
    <w:rsid w:val="6C3E707B"/>
    <w:rsid w:val="6C5123D4"/>
    <w:rsid w:val="6C98344B"/>
    <w:rsid w:val="6D23729E"/>
    <w:rsid w:val="6D4922A2"/>
    <w:rsid w:val="6D5E7886"/>
    <w:rsid w:val="6DF96D6F"/>
    <w:rsid w:val="6E263409"/>
    <w:rsid w:val="6E8551BF"/>
    <w:rsid w:val="6EB54D22"/>
    <w:rsid w:val="6ECC4005"/>
    <w:rsid w:val="6EEF1E79"/>
    <w:rsid w:val="6F115E39"/>
    <w:rsid w:val="6F545EBC"/>
    <w:rsid w:val="6FBE531F"/>
    <w:rsid w:val="6FEB5D77"/>
    <w:rsid w:val="705F5CD8"/>
    <w:rsid w:val="70827AA5"/>
    <w:rsid w:val="70846173"/>
    <w:rsid w:val="70F44D38"/>
    <w:rsid w:val="71414ACB"/>
    <w:rsid w:val="71777785"/>
    <w:rsid w:val="72087044"/>
    <w:rsid w:val="72165A9C"/>
    <w:rsid w:val="72EF0B68"/>
    <w:rsid w:val="730575B1"/>
    <w:rsid w:val="731D6A85"/>
    <w:rsid w:val="734A338F"/>
    <w:rsid w:val="735F4766"/>
    <w:rsid w:val="73797BD5"/>
    <w:rsid w:val="73F40298"/>
    <w:rsid w:val="74ED162C"/>
    <w:rsid w:val="753D4E5A"/>
    <w:rsid w:val="75AC53D2"/>
    <w:rsid w:val="75CE1F56"/>
    <w:rsid w:val="75D25370"/>
    <w:rsid w:val="75E10272"/>
    <w:rsid w:val="762A0DEF"/>
    <w:rsid w:val="7671051C"/>
    <w:rsid w:val="76A558F0"/>
    <w:rsid w:val="76AF1688"/>
    <w:rsid w:val="78215224"/>
    <w:rsid w:val="787616C8"/>
    <w:rsid w:val="7893710F"/>
    <w:rsid w:val="78AF606F"/>
    <w:rsid w:val="78BD416B"/>
    <w:rsid w:val="78E536B2"/>
    <w:rsid w:val="79AD54E1"/>
    <w:rsid w:val="7A2C01C7"/>
    <w:rsid w:val="7A6442BB"/>
    <w:rsid w:val="7B726C36"/>
    <w:rsid w:val="7BA52C76"/>
    <w:rsid w:val="7BD81ADC"/>
    <w:rsid w:val="7CB35D94"/>
    <w:rsid w:val="7CDA69AE"/>
    <w:rsid w:val="7CFB2951"/>
    <w:rsid w:val="7CFB63DE"/>
    <w:rsid w:val="7D1666BD"/>
    <w:rsid w:val="7D215C22"/>
    <w:rsid w:val="7D434216"/>
    <w:rsid w:val="7D8B77F9"/>
    <w:rsid w:val="7E8D3340"/>
    <w:rsid w:val="7E9D44B6"/>
    <w:rsid w:val="7EFE25C6"/>
    <w:rsid w:val="7F37256E"/>
    <w:rsid w:val="7F381DA7"/>
    <w:rsid w:val="7F3C67F3"/>
    <w:rsid w:val="7F5B2CF7"/>
    <w:rsid w:val="7F78771E"/>
    <w:rsid w:val="7FE46D52"/>
    <w:rsid w:val="7FF17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Salutation"/>
    <w:basedOn w:val="1"/>
    <w:next w:val="1"/>
    <w:qFormat/>
    <w:uiPriority w:val="0"/>
    <w:rPr>
      <w:rFonts w:ascii="宋体" w:hAnsi="Tahoma"/>
      <w:color w:val="000000"/>
      <w:kern w:val="0"/>
      <w:sz w:val="34"/>
      <w:szCs w:val="23"/>
    </w:rPr>
  </w:style>
  <w:style w:type="paragraph" w:styleId="3">
    <w:name w:val="Body Text"/>
    <w:basedOn w:val="1"/>
    <w:next w:val="1"/>
    <w:qFormat/>
    <w:uiPriority w:val="99"/>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6"/>
    <w:basedOn w:val="1"/>
    <w:next w:val="1"/>
    <w:qFormat/>
    <w:uiPriority w:val="39"/>
    <w:pPr>
      <w:ind w:left="2100"/>
    </w:pPr>
    <w:rPr>
      <w:szCs w:val="20"/>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paragraph" w:styleId="8">
    <w:name w:val="Body Text First Indent"/>
    <w:basedOn w:val="3"/>
    <w:next w:val="6"/>
    <w:qFormat/>
    <w:uiPriority w:val="0"/>
    <w:pPr>
      <w:keepNext w:val="0"/>
      <w:keepLines w:val="0"/>
      <w:widowControl w:val="0"/>
      <w:suppressLineNumbers w:val="0"/>
      <w:adjustRightInd w:val="0"/>
      <w:snapToGrid w:val="0"/>
      <w:spacing w:before="0" w:beforeAutospacing="0" w:after="0" w:afterAutospacing="0" w:line="300" w:lineRule="auto"/>
      <w:ind w:left="0" w:right="0" w:firstLine="420" w:firstLineChars="100"/>
      <w:jc w:val="left"/>
    </w:pPr>
    <w:rPr>
      <w:rFonts w:ascii="Arial" w:hAnsi="Arial"/>
      <w:kern w:val="2"/>
    </w:rPr>
  </w:style>
  <w:style w:type="character" w:styleId="11">
    <w:name w:val="Strong"/>
    <w:basedOn w:val="10"/>
    <w:qFormat/>
    <w:uiPriority w:val="0"/>
    <w:rPr>
      <w:b/>
    </w:rPr>
  </w:style>
  <w:style w:type="paragraph" w:customStyle="1" w:styleId="12">
    <w:name w:val="列出段落1"/>
    <w:basedOn w:val="1"/>
    <w:qFormat/>
    <w:uiPriority w:val="0"/>
    <w:pPr>
      <w:ind w:firstLine="420" w:firstLineChars="200"/>
    </w:pPr>
    <w:rPr>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1098</Words>
  <Characters>1226</Characters>
  <Lines>0</Lines>
  <Paragraphs>0</Paragraphs>
  <TotalTime>3</TotalTime>
  <ScaleCrop>false</ScaleCrop>
  <LinksUpToDate>false</LinksUpToDate>
  <CharactersWithSpaces>1273</CharactersWithSpaces>
  <Application>WPS Office_11.8.2.8959_F1E327BC-269C-435d-A152-05C5408002CA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2022-09-08T07:16:00Z</dcterms:created>
  <dc:creator>HNJCGS00112</dc:creator>
  <cp:lastModifiedBy>陈诗彤</cp:lastModifiedBy>
  <cp:lastPrinted>2024-12-02T11:25:00Z</cp:lastPrinted>
  <dcterms:modified xsi:type="dcterms:W3CDTF">2024-12-03T01:46:00Z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2052-11.8.2.8959</vt:lpwstr>
  </property>
  <property fmtid="{D5CDD505-2E9C-101B-9397-08002B2CF9AE}" pid="3" name="ICV">
    <vt:lpwstr>231BBBC6417F4671A2DAB47B60C760BB</vt:lpwstr>
  </property>
</Properties>
</file>