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hint="eastAsia" w:ascii="宋体" w:hAnsi="宋体" w:cs="宋体"/>
          <w:b/>
          <w:bCs/>
          <w:sz w:val="32"/>
          <w:szCs w:val="32"/>
          <w:lang w:val="en-GB"/>
        </w:rPr>
      </w:pPr>
      <w:r>
        <w:rPr>
          <w:rFonts w:hint="eastAsia" w:ascii="宋体" w:hAnsi="宋体" w:cs="宋体"/>
          <w:b/>
          <w:bCs/>
          <w:sz w:val="32"/>
          <w:szCs w:val="32"/>
          <w:lang w:val="en-GB"/>
        </w:rPr>
        <w:t>评分细则表</w:t>
      </w:r>
    </w:p>
    <w:tbl>
      <w:tblPr>
        <w:tblStyle w:val="3"/>
        <w:tblpPr w:leftFromText="180" w:rightFromText="180" w:vertAnchor="text" w:horzAnchor="margin" w:tblpX="-324" w:tblpY="141"/>
        <w:tblOverlap w:val="never"/>
        <w:tblW w:w="9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35"/>
        <w:gridCol w:w="596"/>
        <w:gridCol w:w="72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评分内容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评审分值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评分标准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服务方案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30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1、根据询价人的特点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完整的服务方案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包括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工作思路、响应时间、服务保障、服务承诺等方面，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体现律所服务国资监管和国企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改制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方面具备的优势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根据各供应商提供的方案进行综合评比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2、未提供服务方案的不得分，每缺少一项内容扣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分，每有一项不完善或不合理的扣3分。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3、服务方案完整、有针对性、响应迅速、总体优秀得30-20分；方案完整、针对性一般、响应及时得20-10分；其他情形得10-0分。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律所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人员配备情况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成立时间满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年得1分；成立时间满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年得2分；成立时间满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年得3分；成立时间满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年得4分；成立时间满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年及以上得5分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在海南本地设立分所的，以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分所设立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时间为准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2、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专职执业律师10名及以上，得5分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专职执业律师10名以下的，得0-4分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服务律师团队中除主办律师外的其他律师具有8年以上法律工作经历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得5分；具有8年以下6年以上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法律工作经历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得4分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具有6年以下5年以上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法律工作经历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得3分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近五年获得司法部授予全国优秀律师事务所的，每次得2.5分，满分5分；获得司法厅授予优秀律师事务所的，每次得2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.5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分，满分5分。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提供发布的获奖公示复印件等相关证明材料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提供获奖证明书等相关证明材料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)。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经验及业绩情况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30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1、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服务律师团队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提供常年法律服务合同，10个以上的得7分；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个以上10个以下的得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分；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个以下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5个以上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的得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分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5个以下的得1分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。近五年担任省市区级政府及驻琼央企、海南省属国有企业法律顾问的，酌情加分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～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2、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主办律师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熟悉国资国企监管法律法规，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提供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包括但不限于近五年为驻琼央企、海南省属国有企业提供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改制、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并购、重组方面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房地产合作开发领域、工程领域等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法律服务的相关业绩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每提供1个得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分，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满分10分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240" w:lineRule="atLeast"/>
              <w:rPr>
                <w:rFonts w:hint="eastAsia" w:ascii="Times New Roman" w:hAnsi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3、其他团队成员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提供包括但不限于近五年为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驻琼央企、海南省属国有企业提供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改制、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并购、重组方面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房地产合作开发领域、工程领域等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法律服务的相关业绩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每提供1个得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</w:rPr>
              <w:t>分，</w:t>
            </w:r>
            <w:r>
              <w:rPr>
                <w:rFonts w:hint="eastAsia" w:ascii="宋体" w:hAnsi="宋体" w:cs="仿宋"/>
                <w:color w:val="auto"/>
                <w:kern w:val="0"/>
                <w:sz w:val="24"/>
                <w:lang w:val="en-US" w:eastAsia="zh-CN"/>
              </w:rPr>
              <w:t>满分8分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报价得分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1、报价在限价范围内，若超出限价范围视为放弃报价。</w:t>
            </w:r>
          </w:p>
          <w:p>
            <w:pPr>
              <w:spacing w:line="24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2、以所有有效报价人报价均值为基准价，满分20分，每高于基准价5千元扣1分（不足5千按5千元计算），以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0"/>
                <w:sz w:val="24"/>
              </w:rPr>
              <w:t>此类推，每低于基准价5千元扣1分（不足5千按5千元计算）。</w:t>
            </w:r>
          </w:p>
        </w:tc>
      </w:tr>
    </w:tbl>
    <w:p>
      <w:pPr>
        <w:pStyle w:val="2"/>
        <w:jc w:val="left"/>
        <w:rPr>
          <w:rFonts w:hint="eastAsia" w:ascii="仿宋" w:hAnsi="仿宋" w:eastAsia="仿宋" w:cs="仿宋"/>
          <w:b w:val="0"/>
          <w:bCs/>
          <w:color w:val="C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F4A92"/>
    <w:rsid w:val="0DEE6304"/>
    <w:rsid w:val="0ECD456D"/>
    <w:rsid w:val="1B34222F"/>
    <w:rsid w:val="24861D90"/>
    <w:rsid w:val="291E1DDE"/>
    <w:rsid w:val="372F4A92"/>
    <w:rsid w:val="40D93691"/>
    <w:rsid w:val="463F5E7E"/>
    <w:rsid w:val="46B627D5"/>
    <w:rsid w:val="6A6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center"/>
      <w:textAlignment w:val="baseline"/>
      <w:outlineLvl w:val="1"/>
    </w:pPr>
    <w:rPr>
      <w:rFonts w:ascii="Arial" w:hAnsi="Arial" w:eastAsia="黑体"/>
      <w:b/>
      <w:spacing w:val="24"/>
      <w:kern w:val="0"/>
      <w:sz w:val="2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2023-05-17T15:18:00Z</dcterms:created>
  <dc:creator>lei</dc:creator>
  <cp:lastModifiedBy>lei</cp:lastModifiedBy>
  <dcterms:modified xsi:type="dcterms:W3CDTF">2023-06-06T00:13:02Z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DA8C77A5D4EE4A10840D65CF71E18735</vt:lpwstr>
  </property>
</Properties>
</file>